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1DA11EB5"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w:t>
      </w:r>
      <w:r w:rsidR="001931FF">
        <w:rPr>
          <w:rFonts w:ascii="Arial" w:hAnsi="Arial" w:cs="Arial"/>
          <w:b/>
          <w:sz w:val="24"/>
          <w:lang w:val="en-US"/>
        </w:rPr>
        <w:t>4</w:t>
      </w:r>
      <w:r w:rsidRPr="00AA435B">
        <w:rPr>
          <w:rFonts w:ascii="Arial" w:hAnsi="Arial" w:cs="Arial"/>
          <w:b/>
          <w:sz w:val="24"/>
          <w:lang w:val="en-US"/>
        </w:rPr>
        <w:t xml:space="preserve"> Meeting #</w:t>
      </w:r>
      <w:r w:rsidR="001931FF">
        <w:rPr>
          <w:rFonts w:ascii="Arial" w:hAnsi="Arial" w:cs="Arial"/>
          <w:b/>
          <w:sz w:val="24"/>
          <w:lang w:val="en-US"/>
        </w:rPr>
        <w:t>10</w:t>
      </w:r>
      <w:r w:rsidR="00E135E3">
        <w:rPr>
          <w:rFonts w:ascii="Arial" w:hAnsi="Arial" w:cs="Arial"/>
          <w:b/>
          <w:sz w:val="24"/>
          <w:lang w:val="en-US"/>
        </w:rPr>
        <w:t>4</w:t>
      </w:r>
      <w:r w:rsidRPr="00AA435B">
        <w:rPr>
          <w:rFonts w:ascii="Arial" w:hAnsi="Arial" w:cs="Arial"/>
          <w:b/>
          <w:sz w:val="24"/>
          <w:lang w:val="en-US"/>
        </w:rPr>
        <w:t>-</w:t>
      </w:r>
      <w:r w:rsidR="00E135E3">
        <w:rPr>
          <w:rFonts w:ascii="Arial" w:hAnsi="Arial" w:cs="Arial"/>
          <w:b/>
          <w:sz w:val="24"/>
          <w:lang w:val="en-US"/>
        </w:rPr>
        <w:t>bis-</w:t>
      </w:r>
      <w:r w:rsidRPr="00AA435B">
        <w:rPr>
          <w:rFonts w:ascii="Arial" w:hAnsi="Arial" w:cs="Arial"/>
          <w:b/>
          <w:sz w:val="24"/>
          <w:lang w:val="en-US"/>
        </w:rPr>
        <w:t>e</w:t>
      </w:r>
      <w:r>
        <w:rPr>
          <w:rFonts w:ascii="Arial" w:hAnsi="Arial" w:cs="Arial"/>
          <w:b/>
          <w:sz w:val="24"/>
          <w:lang w:val="en-US"/>
        </w:rPr>
        <w:tab/>
      </w:r>
      <w:r w:rsidR="002D349E" w:rsidRPr="002D349E">
        <w:rPr>
          <w:rFonts w:ascii="Arial" w:hAnsi="Arial" w:cs="Arial"/>
          <w:b/>
          <w:sz w:val="24"/>
          <w:lang w:val="en-US"/>
        </w:rPr>
        <w:t>R4-2216755</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CF56C7">
        <w:rPr>
          <w:rFonts w:ascii="Arial" w:hAnsi="Arial" w:cs="Arial"/>
          <w:b/>
          <w:sz w:val="24"/>
        </w:rPr>
        <w:t>10</w:t>
      </w:r>
      <w:r w:rsidR="00B83349" w:rsidRPr="00277CF2">
        <w:rPr>
          <w:rFonts w:ascii="Arial" w:hAnsi="Arial" w:cs="Arial"/>
          <w:b/>
          <w:sz w:val="24"/>
          <w:vertAlign w:val="superscript"/>
        </w:rPr>
        <w:t>th</w:t>
      </w:r>
      <w:r w:rsidR="00B83349">
        <w:rPr>
          <w:rFonts w:ascii="Arial" w:hAnsi="Arial" w:cs="Arial"/>
          <w:b/>
          <w:sz w:val="24"/>
        </w:rPr>
        <w:t xml:space="preserve"> </w:t>
      </w:r>
      <w:r w:rsidR="0045576C">
        <w:rPr>
          <w:rFonts w:ascii="Arial" w:hAnsi="Arial" w:cs="Arial"/>
          <w:b/>
          <w:sz w:val="24"/>
        </w:rPr>
        <w:t>October</w:t>
      </w:r>
      <w:r w:rsidR="00B83349">
        <w:rPr>
          <w:rFonts w:ascii="Arial" w:hAnsi="Arial" w:cs="Arial"/>
          <w:b/>
          <w:sz w:val="24"/>
        </w:rPr>
        <w:t xml:space="preserve"> </w:t>
      </w:r>
      <w:r w:rsidR="00B83349" w:rsidRPr="00166CFE">
        <w:rPr>
          <w:rFonts w:ascii="Arial" w:hAnsi="Arial" w:cs="Arial"/>
          <w:b/>
          <w:sz w:val="24"/>
        </w:rPr>
        <w:t xml:space="preserve">– </w:t>
      </w:r>
      <w:r w:rsidR="00CF56C7">
        <w:rPr>
          <w:rFonts w:ascii="Arial" w:hAnsi="Arial" w:cs="Arial"/>
          <w:b/>
          <w:sz w:val="24"/>
        </w:rPr>
        <w:t>19</w:t>
      </w:r>
      <w:r w:rsidR="00B83349" w:rsidRPr="00166CFE">
        <w:rPr>
          <w:rFonts w:ascii="Arial" w:hAnsi="Arial" w:cs="Arial"/>
          <w:b/>
          <w:sz w:val="24"/>
          <w:vertAlign w:val="superscript"/>
        </w:rPr>
        <w:t>th</w:t>
      </w:r>
      <w:r w:rsidR="00B83349" w:rsidRPr="00166CFE">
        <w:rPr>
          <w:rFonts w:ascii="Arial" w:hAnsi="Arial" w:cs="Arial"/>
          <w:b/>
          <w:sz w:val="24"/>
        </w:rPr>
        <w:t xml:space="preserve"> </w:t>
      </w:r>
      <w:r w:rsidR="0045576C">
        <w:rPr>
          <w:rFonts w:ascii="Arial" w:hAnsi="Arial" w:cs="Arial"/>
          <w:b/>
          <w:sz w:val="24"/>
        </w:rPr>
        <w:t xml:space="preserve">October </w:t>
      </w:r>
      <w:r w:rsidR="00FA3AE0" w:rsidRPr="00B83349">
        <w:rPr>
          <w:rFonts w:ascii="Arial" w:hAnsi="Arial" w:cs="Arial"/>
          <w:b/>
          <w:sz w:val="24"/>
        </w:rPr>
        <w:t>202</w:t>
      </w:r>
      <w:r w:rsidR="00B43FEC" w:rsidRPr="00B83349">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281844F6"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D349E">
        <w:rPr>
          <w:rFonts w:ascii="Arial" w:hAnsi="Arial" w:cs="Arial"/>
          <w:sz w:val="24"/>
          <w:szCs w:val="24"/>
        </w:rPr>
        <w:t>6.5.3</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7325830B"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B11065">
        <w:rPr>
          <w:rFonts w:ascii="Arial" w:hAnsi="Arial" w:cs="Arial"/>
          <w:sz w:val="24"/>
          <w:szCs w:val="24"/>
        </w:rPr>
        <w:t>On QoQZ</w:t>
      </w:r>
      <w:r w:rsidR="00871DE0">
        <w:rPr>
          <w:rFonts w:ascii="Arial" w:hAnsi="Arial" w:cs="Arial"/>
          <w:sz w:val="24"/>
          <w:szCs w:val="24"/>
        </w:rPr>
        <w:t xml:space="preserve"> Validation and MU</w:t>
      </w:r>
      <w:r w:rsidR="00B11065">
        <w:rPr>
          <w:rFonts w:ascii="Arial" w:hAnsi="Arial" w:cs="Arial"/>
          <w:sz w:val="24"/>
          <w:szCs w:val="24"/>
        </w:rPr>
        <w:t xml:space="preserve"> for Multi-</w:t>
      </w:r>
      <w:r w:rsidR="00A33606">
        <w:rPr>
          <w:rFonts w:ascii="Arial" w:hAnsi="Arial" w:cs="Arial"/>
          <w:sz w:val="24"/>
          <w:szCs w:val="24"/>
        </w:rPr>
        <w:t>AoA Systems for Multi-Ch</w:t>
      </w:r>
      <w:r w:rsidR="001A2DC2">
        <w:rPr>
          <w:rFonts w:ascii="Arial" w:hAnsi="Arial" w:cs="Arial"/>
          <w:sz w:val="24"/>
          <w:szCs w:val="24"/>
        </w:rPr>
        <w:t>ain</w:t>
      </w:r>
      <w:r w:rsidR="00A33606">
        <w:rPr>
          <w:rFonts w:ascii="Arial" w:hAnsi="Arial" w:cs="Arial"/>
          <w:sz w:val="24"/>
          <w:szCs w:val="24"/>
        </w:rPr>
        <w:t xml:space="preserve"> Operation</w:t>
      </w:r>
    </w:p>
    <w:p w14:paraId="3595238B" w14:textId="1C8824C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4665F1">
        <w:rPr>
          <w:rFonts w:ascii="Arial" w:hAnsi="Arial" w:cs="Arial"/>
          <w:sz w:val="24"/>
          <w:szCs w:val="24"/>
        </w:rPr>
        <w:t>Approval</w:t>
      </w:r>
    </w:p>
    <w:bookmarkEnd w:id="1"/>
    <w:p w14:paraId="79A676B7" w14:textId="77777777" w:rsidR="005E2166" w:rsidRDefault="005E2166" w:rsidP="005E2166">
      <w:pPr>
        <w:pStyle w:val="Heading1"/>
        <w:numPr>
          <w:ilvl w:val="0"/>
          <w:numId w:val="42"/>
        </w:numPr>
        <w:ind w:left="360"/>
      </w:pPr>
      <w:r w:rsidRPr="00647B25">
        <w:t>Introduction</w:t>
      </w:r>
    </w:p>
    <w:p w14:paraId="3595238D" w14:textId="702A5AC0" w:rsidR="000606FD" w:rsidRPr="00354167" w:rsidRDefault="000833ED" w:rsidP="005E2166">
      <w:pPr>
        <w:rPr>
          <w:rFonts w:eastAsia="Batang"/>
        </w:rPr>
      </w:pPr>
      <w:r w:rsidRPr="00354167">
        <w:rPr>
          <w:rFonts w:eastAsia="Batang"/>
        </w:rPr>
        <w:t>This contribution</w:t>
      </w:r>
      <w:r w:rsidR="00293DC2">
        <w:rPr>
          <w:rFonts w:eastAsia="Batang"/>
        </w:rPr>
        <w:t xml:space="preserve"> discusses </w:t>
      </w:r>
      <w:r w:rsidR="00B56185">
        <w:rPr>
          <w:rFonts w:eastAsia="Batang"/>
        </w:rPr>
        <w:t xml:space="preserve">the </w:t>
      </w:r>
      <w:r w:rsidR="00B56185" w:rsidRPr="00B56185">
        <w:rPr>
          <w:rFonts w:eastAsia="Batang"/>
        </w:rPr>
        <w:t>impact of positioner blocking on MU element of Quality of Quiet Zone</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4" w:name="_Ref31104997"/>
      <w:r>
        <w:t>Discussion</w:t>
      </w:r>
    </w:p>
    <w:p w14:paraId="324ECA59" w14:textId="2CA8886C" w:rsidR="00D0209B" w:rsidRDefault="00C42EBF" w:rsidP="00C42EBF">
      <w:r>
        <w:t xml:space="preserve">In </w:t>
      </w:r>
      <w:r w:rsidR="00CB54AD">
        <w:t>[1]</w:t>
      </w:r>
      <w:r w:rsidR="00B56185">
        <w:t>, discussions were held on the positioner block</w:t>
      </w:r>
      <w:r w:rsidR="000A34EE">
        <w:t xml:space="preserve">ing and it was </w:t>
      </w:r>
      <w:proofErr w:type="gramStart"/>
      <w:r w:rsidR="000A34EE">
        <w:t>agreed  to</w:t>
      </w:r>
      <w:proofErr w:type="gramEnd"/>
      <w:r w:rsidR="000A34EE">
        <w:t xml:space="preserve"> study this effect on the </w:t>
      </w:r>
      <w:r w:rsidR="000A34EE" w:rsidRPr="004D212A">
        <w:rPr>
          <w:rFonts w:eastAsia="SimSun"/>
          <w:szCs w:val="24"/>
          <w:lang w:eastAsia="zh-CN"/>
        </w:rPr>
        <w:t>MU element of Quality of Quiet Zone</w:t>
      </w:r>
      <w:r w:rsidR="000A34EE">
        <w:rPr>
          <w:rFonts w:eastAsia="SimSun"/>
          <w:szCs w:val="24"/>
          <w:lang w:eastAsia="zh-CN"/>
        </w:rPr>
        <w:t xml:space="preserve"> going forward</w:t>
      </w:r>
      <w:r w:rsidR="0047111D">
        <w:rPr>
          <w:rFonts w:eastAsia="SimSun"/>
          <w:szCs w:val="24"/>
          <w:lang w:eastAsia="zh-CN"/>
        </w:rPr>
        <w:t xml:space="preserve"> </w:t>
      </w:r>
      <w:r w:rsidR="0047111D">
        <w:fldChar w:fldCharType="begin"/>
      </w:r>
      <w:r w:rsidR="0047111D">
        <w:instrText xml:space="preserve"> REF _Ref115420360 \r \h </w:instrText>
      </w:r>
      <w:r w:rsidR="0047111D">
        <w:fldChar w:fldCharType="separate"/>
      </w:r>
      <w:r w:rsidR="0047111D">
        <w:t>[2]</w:t>
      </w:r>
      <w:r w:rsidR="0047111D">
        <w:fldChar w:fldCharType="end"/>
      </w:r>
      <w:r w:rsidR="000A34EE">
        <w:rPr>
          <w:rFonts w:eastAsia="SimSun"/>
          <w:szCs w:val="24"/>
          <w:lang w:eastAsia="zh-CN"/>
        </w:rPr>
        <w:t>.</w:t>
      </w:r>
      <w:r w:rsidR="00CB54AD">
        <w:t xml:space="preserve"> </w:t>
      </w:r>
    </w:p>
    <w:tbl>
      <w:tblPr>
        <w:tblStyle w:val="TableGrid"/>
        <w:tblW w:w="0" w:type="auto"/>
        <w:tblLook w:val="04A0" w:firstRow="1" w:lastRow="0" w:firstColumn="1" w:lastColumn="0" w:noHBand="0" w:noVBand="1"/>
      </w:tblPr>
      <w:tblGrid>
        <w:gridCol w:w="9631"/>
      </w:tblGrid>
      <w:tr w:rsidR="00D0209B" w14:paraId="3179DED2" w14:textId="77777777" w:rsidTr="00D0209B">
        <w:tc>
          <w:tcPr>
            <w:tcW w:w="9631" w:type="dxa"/>
          </w:tcPr>
          <w:p w14:paraId="2B65DA62" w14:textId="77777777" w:rsidR="00D0209B" w:rsidRPr="00E82725" w:rsidRDefault="00D0209B" w:rsidP="00D0209B">
            <w:pPr>
              <w:rPr>
                <w:b/>
                <w:u w:val="single"/>
                <w:lang w:eastAsia="ko-KR"/>
              </w:rPr>
            </w:pPr>
            <w:r w:rsidRPr="00E82725">
              <w:rPr>
                <w:b/>
                <w:u w:val="single"/>
                <w:lang w:eastAsia="ko-KR"/>
              </w:rPr>
              <w:t xml:space="preserve">Issue 3-1: MU impacts for </w:t>
            </w:r>
            <w:proofErr w:type="gramStart"/>
            <w:r w:rsidRPr="00E82725">
              <w:rPr>
                <w:b/>
                <w:u w:val="single"/>
                <w:lang w:eastAsia="ko-KR"/>
              </w:rPr>
              <w:t>Multi-Rx</w:t>
            </w:r>
            <w:proofErr w:type="gramEnd"/>
            <w:r w:rsidRPr="00E82725">
              <w:rPr>
                <w:b/>
                <w:u w:val="single"/>
                <w:lang w:eastAsia="ko-KR"/>
              </w:rPr>
              <w:t xml:space="preserve"> test system</w:t>
            </w:r>
          </w:p>
          <w:p w14:paraId="7D77AF00" w14:textId="77777777" w:rsidR="00D0209B" w:rsidRPr="00E82725" w:rsidRDefault="00D0209B" w:rsidP="00D0209B">
            <w:pPr>
              <w:pStyle w:val="ListParagraph"/>
              <w:numPr>
                <w:ilvl w:val="0"/>
                <w:numId w:val="43"/>
              </w:numPr>
              <w:spacing w:after="120" w:line="240" w:lineRule="auto"/>
              <w:ind w:left="720"/>
              <w:contextualSpacing w:val="0"/>
              <w:rPr>
                <w:rFonts w:eastAsia="SimSun"/>
                <w:szCs w:val="24"/>
                <w:lang w:eastAsia="zh-CN"/>
              </w:rPr>
            </w:pPr>
            <w:r w:rsidRPr="00E82725">
              <w:rPr>
                <w:rFonts w:eastAsia="SimSun"/>
                <w:szCs w:val="24"/>
                <w:lang w:eastAsia="zh-CN"/>
              </w:rPr>
              <w:t>Proposals</w:t>
            </w:r>
          </w:p>
          <w:p w14:paraId="73818530" w14:textId="77777777" w:rsidR="00D0209B" w:rsidRPr="00E82725" w:rsidRDefault="00D0209B" w:rsidP="00D0209B">
            <w:pPr>
              <w:pStyle w:val="ListParagraph"/>
              <w:numPr>
                <w:ilvl w:val="1"/>
                <w:numId w:val="43"/>
              </w:numPr>
              <w:spacing w:after="120" w:line="240" w:lineRule="auto"/>
              <w:ind w:left="1440"/>
              <w:contextualSpacing w:val="0"/>
              <w:rPr>
                <w:rFonts w:eastAsia="SimSun"/>
                <w:szCs w:val="24"/>
                <w:lang w:eastAsia="zh-CN"/>
              </w:rPr>
            </w:pPr>
            <w:r w:rsidRPr="00E82725">
              <w:rPr>
                <w:rFonts w:eastAsia="SimSun"/>
                <w:szCs w:val="24"/>
                <w:lang w:eastAsia="zh-CN"/>
              </w:rPr>
              <w:t>Option 1: RAN4 to study the impact on MU element of Quality of Quiet Zone and positioner blocking.</w:t>
            </w:r>
          </w:p>
          <w:p w14:paraId="4ADF7BBF" w14:textId="77777777" w:rsidR="00D0209B" w:rsidRPr="00E82725" w:rsidRDefault="00D0209B" w:rsidP="00D0209B">
            <w:pPr>
              <w:pStyle w:val="ListParagraph"/>
              <w:numPr>
                <w:ilvl w:val="1"/>
                <w:numId w:val="43"/>
              </w:numPr>
              <w:spacing w:after="120" w:line="240" w:lineRule="auto"/>
              <w:ind w:left="1440"/>
              <w:contextualSpacing w:val="0"/>
              <w:rPr>
                <w:rFonts w:eastAsia="SimSun"/>
                <w:szCs w:val="24"/>
                <w:lang w:eastAsia="zh-CN"/>
              </w:rPr>
            </w:pPr>
            <w:r w:rsidRPr="00E82725">
              <w:rPr>
                <w:rFonts w:eastAsia="SimSun"/>
                <w:szCs w:val="24"/>
                <w:lang w:eastAsia="zh-CN"/>
              </w:rPr>
              <w:t>Option 2: specify other option if any</w:t>
            </w:r>
          </w:p>
          <w:p w14:paraId="7A9B2B38" w14:textId="77777777" w:rsidR="00D0209B" w:rsidRPr="00EE3A4A" w:rsidRDefault="00D0209B" w:rsidP="00D0209B">
            <w:pPr>
              <w:pStyle w:val="ListParagraph"/>
              <w:numPr>
                <w:ilvl w:val="0"/>
                <w:numId w:val="43"/>
              </w:numPr>
              <w:spacing w:after="120" w:line="240" w:lineRule="auto"/>
              <w:ind w:left="720"/>
              <w:contextualSpacing w:val="0"/>
              <w:rPr>
                <w:szCs w:val="24"/>
                <w:lang w:eastAsia="zh-CN"/>
              </w:rPr>
            </w:pPr>
            <w:r w:rsidRPr="0032220C">
              <w:rPr>
                <w:rFonts w:eastAsia="SimSun"/>
                <w:szCs w:val="24"/>
                <w:lang w:eastAsia="zh-CN"/>
              </w:rPr>
              <w:t xml:space="preserve">Agreement: </w:t>
            </w:r>
          </w:p>
          <w:p w14:paraId="460E665D" w14:textId="2DD60592" w:rsidR="00D0209B" w:rsidRDefault="00D0209B" w:rsidP="00D0209B">
            <w:r w:rsidRPr="004D212A">
              <w:rPr>
                <w:rFonts w:eastAsia="SimSun"/>
                <w:szCs w:val="24"/>
                <w:lang w:eastAsia="zh-CN"/>
              </w:rPr>
              <w:t>RAN4 to study the impact of positioner blocking on MU element of Quality of Quiet Zone</w:t>
            </w:r>
          </w:p>
        </w:tc>
      </w:tr>
    </w:tbl>
    <w:p w14:paraId="43F5797D" w14:textId="3F590D7B" w:rsidR="00F46E30" w:rsidRDefault="005E3340" w:rsidP="00C42EBF">
      <w:r>
        <w:t xml:space="preserve">As the test </w:t>
      </w:r>
      <w:r w:rsidR="0070517A">
        <w:t xml:space="preserve">system </w:t>
      </w:r>
      <w:r w:rsidR="001376C9">
        <w:t xml:space="preserve">for multi-chain operation </w:t>
      </w:r>
      <w:r w:rsidR="0070517A">
        <w:t>has not been defined yet</w:t>
      </w:r>
      <w:r w:rsidR="001376C9">
        <w:t xml:space="preserve"> and various features</w:t>
      </w:r>
      <w:r w:rsidR="0047111D">
        <w:t xml:space="preserve"> are being discussed</w:t>
      </w:r>
      <w:r w:rsidR="001376C9">
        <w:t xml:space="preserve">, e.g., full degrees of freedom </w:t>
      </w:r>
      <w:r w:rsidR="00991999">
        <w:t xml:space="preserve">for both AoAs vs full degrees of freedom for </w:t>
      </w:r>
      <w:r w:rsidR="00EE29F1">
        <w:t>first</w:t>
      </w:r>
      <w:r w:rsidR="00991999">
        <w:t xml:space="preserve"> AoA with limited/fixed angular separations </w:t>
      </w:r>
      <w:r w:rsidR="00730D43">
        <w:t xml:space="preserve">for the </w:t>
      </w:r>
      <w:r w:rsidR="00EE29F1">
        <w:t xml:space="preserve">second AoA </w:t>
      </w:r>
      <w:r w:rsidR="005811C0">
        <w:fldChar w:fldCharType="begin"/>
      </w:r>
      <w:r w:rsidR="005811C0">
        <w:instrText xml:space="preserve"> REF _Ref115421185 \r \h </w:instrText>
      </w:r>
      <w:r w:rsidR="005811C0">
        <w:fldChar w:fldCharType="separate"/>
      </w:r>
      <w:r w:rsidR="005811C0">
        <w:t>[3]</w:t>
      </w:r>
      <w:r w:rsidR="005811C0">
        <w:fldChar w:fldCharType="end"/>
      </w:r>
      <w:r w:rsidR="0070517A">
        <w:t xml:space="preserve">, the QoQZ validation procedure cannot be defined yet, i.e., the details of </w:t>
      </w:r>
      <w:r w:rsidR="00F54063">
        <w:t xml:space="preserve">how </w:t>
      </w:r>
      <w:r w:rsidR="0070517A">
        <w:t>positioner blocking</w:t>
      </w:r>
      <w:r w:rsidR="00F54063">
        <w:t xml:space="preserve"> is affecting the MU element cannot be addressed yet</w:t>
      </w:r>
      <w:r w:rsidR="00730D43">
        <w:t>.</w:t>
      </w:r>
    </w:p>
    <w:p w14:paraId="1197B74B" w14:textId="14067189" w:rsidR="002F447E" w:rsidRDefault="002F447E" w:rsidP="002F447E">
      <w:pPr>
        <w:pStyle w:val="Caption"/>
      </w:pPr>
      <w:bookmarkStart w:id="5" w:name="_Ref115429973"/>
      <w:r>
        <w:t xml:space="preserve">Proposal </w:t>
      </w:r>
      <w:r>
        <w:fldChar w:fldCharType="begin"/>
      </w:r>
      <w:r>
        <w:instrText xml:space="preserve"> SEQ Proposal \* ARABIC </w:instrText>
      </w:r>
      <w:r>
        <w:fldChar w:fldCharType="separate"/>
      </w:r>
      <w:r>
        <w:rPr>
          <w:noProof/>
        </w:rPr>
        <w:t>1</w:t>
      </w:r>
      <w:r>
        <w:fldChar w:fldCharType="end"/>
      </w:r>
      <w:r>
        <w:t xml:space="preserve">: </w:t>
      </w:r>
      <w:r w:rsidR="00491A80">
        <w:t>Defer the effect of positioner blocking</w:t>
      </w:r>
      <w:r w:rsidR="00C24BC2">
        <w:t xml:space="preserve"> on QoQZ MU until the test system for multi-chain operation has been defined.</w:t>
      </w:r>
      <w:bookmarkEnd w:id="5"/>
    </w:p>
    <w:p w14:paraId="59A0B7AC" w14:textId="2459A72B" w:rsidR="006C1487" w:rsidRDefault="00E918C9" w:rsidP="00BC2E7F">
      <w:r>
        <w:t>It would be ideal if an existing multi-probe/multi-AoA test system</w:t>
      </w:r>
      <w:r w:rsidR="008B626C">
        <w:t>s</w:t>
      </w:r>
      <w:r w:rsidR="006C1487">
        <w:t xml:space="preserve"> could be leveraged for the multi-</w:t>
      </w:r>
      <w:r w:rsidR="00A7725D">
        <w:t xml:space="preserve">DL </w:t>
      </w:r>
      <w:r w:rsidR="006C1487">
        <w:t xml:space="preserve">chain </w:t>
      </w:r>
      <w:r w:rsidR="00A7725D">
        <w:t>test cases as the existing QoQZ procedure could be applied</w:t>
      </w:r>
      <w:r w:rsidR="00E7204D">
        <w:t xml:space="preserve"> readily</w:t>
      </w:r>
      <w:r w:rsidR="00B40708">
        <w:t>. This procedure and the effect of positioner blocking on the MU element of QoQZ</w:t>
      </w:r>
      <w:r w:rsidR="00E7204D">
        <w:t xml:space="preserve"> is investigated next. </w:t>
      </w:r>
    </w:p>
    <w:p w14:paraId="6D845A5D" w14:textId="3F1765C4" w:rsidR="001D26A8" w:rsidRDefault="00C24BC2" w:rsidP="00BC2E7F">
      <w:r>
        <w:t xml:space="preserve">The QoQZ </w:t>
      </w:r>
      <w:r w:rsidR="009265E2">
        <w:t xml:space="preserve">procedure for FR2 </w:t>
      </w:r>
      <w:r w:rsidR="00B108A6">
        <w:t>is</w:t>
      </w:r>
      <w:r w:rsidR="009265E2">
        <w:t xml:space="preserve"> defined in </w:t>
      </w:r>
      <w:r w:rsidR="00B108A6">
        <w:fldChar w:fldCharType="begin"/>
      </w:r>
      <w:r w:rsidR="00B108A6">
        <w:instrText xml:space="preserve"> REF _Ref115421350 \r \h </w:instrText>
      </w:r>
      <w:r w:rsidR="00B108A6">
        <w:fldChar w:fldCharType="separate"/>
      </w:r>
      <w:r w:rsidR="00B108A6">
        <w:t>[4]</w:t>
      </w:r>
      <w:r w:rsidR="00B108A6">
        <w:fldChar w:fldCharType="end"/>
      </w:r>
      <w:r w:rsidR="00B22B87">
        <w:t xml:space="preserve">, specifically Annex O. </w:t>
      </w:r>
      <w:r w:rsidR="00A37EE3">
        <w:t>The effect of p</w:t>
      </w:r>
      <w:r w:rsidR="00191875">
        <w:t xml:space="preserve">ositioner blocking </w:t>
      </w:r>
      <w:r w:rsidR="000522AA">
        <w:t>is considered and taken into account</w:t>
      </w:r>
      <w:r w:rsidR="0020057A">
        <w:t xml:space="preserve"> </w:t>
      </w:r>
      <w:r w:rsidR="00D7743C">
        <w:t>in</w:t>
      </w:r>
      <w:r w:rsidR="00DA1FC3">
        <w:t xml:space="preserve"> the QoQZ procedure </w:t>
      </w:r>
      <w:r w:rsidR="009747AE">
        <w:t xml:space="preserve">as </w:t>
      </w:r>
      <w:r w:rsidR="00A4273A">
        <w:t xml:space="preserve">the </w:t>
      </w:r>
      <w:r w:rsidR="00F202F8">
        <w:t xml:space="preserve">reference antenna rotations </w:t>
      </w:r>
      <w:r w:rsidR="009747AE">
        <w:t>must utilize</w:t>
      </w:r>
      <w:r w:rsidR="00F202F8">
        <w:t xml:space="preserve"> </w:t>
      </w:r>
      <w:r w:rsidR="00EC416C">
        <w:t>rotations in full 3D</w:t>
      </w:r>
      <w:r w:rsidR="00C11469">
        <w:t xml:space="preserve">, e.g., for the Combined-Axes System, the </w:t>
      </w:r>
      <w:r w:rsidR="002927B4">
        <w:t xml:space="preserve">antenna rotation angles are defined as </w:t>
      </w:r>
      <w:r w:rsidR="009B440E">
        <w:t>“</w:t>
      </w:r>
      <w:r w:rsidR="009B440E" w:rsidRPr="009A4211">
        <w:t xml:space="preserve">5 different angles </w:t>
      </w:r>
      <w:r w:rsidR="009B440E" w:rsidRPr="009A4211">
        <w:rPr>
          <w:rFonts w:ascii="Symbol" w:hAnsi="Symbol"/>
        </w:rPr>
        <w:t></w:t>
      </w:r>
      <w:r w:rsidR="009B440E" w:rsidRPr="009A4211">
        <w:t xml:space="preserve">, i.e., </w:t>
      </w:r>
      <w:r w:rsidR="009B440E" w:rsidRPr="009A4211">
        <w:rPr>
          <w:rFonts w:ascii="Symbol" w:hAnsi="Symbol"/>
        </w:rPr>
        <w:t></w:t>
      </w:r>
      <w:r w:rsidR="009B440E" w:rsidRPr="009A4211">
        <w:t xml:space="preserve">  = -90</w:t>
      </w:r>
      <w:r w:rsidR="009B440E" w:rsidRPr="009A4211">
        <w:rPr>
          <w:vertAlign w:val="superscript"/>
        </w:rPr>
        <w:t>o</w:t>
      </w:r>
      <w:r w:rsidR="009B440E" w:rsidRPr="009A4211">
        <w:t>, -45</w:t>
      </w:r>
      <w:r w:rsidR="009B440E" w:rsidRPr="009A4211">
        <w:rPr>
          <w:vertAlign w:val="superscript"/>
        </w:rPr>
        <w:t>o</w:t>
      </w:r>
      <w:r w:rsidR="009B440E" w:rsidRPr="009A4211">
        <w:t>, 0</w:t>
      </w:r>
      <w:r w:rsidR="009B440E" w:rsidRPr="009A4211">
        <w:rPr>
          <w:vertAlign w:val="superscript"/>
        </w:rPr>
        <w:t>o</w:t>
      </w:r>
      <w:r w:rsidR="009B440E" w:rsidRPr="009A4211">
        <w:t>, 45</w:t>
      </w:r>
      <w:r w:rsidR="009B440E" w:rsidRPr="009A4211">
        <w:rPr>
          <w:vertAlign w:val="superscript"/>
        </w:rPr>
        <w:t>o</w:t>
      </w:r>
      <w:r w:rsidR="009B440E" w:rsidRPr="009A4211">
        <w:t>, and 90</w:t>
      </w:r>
      <w:r w:rsidR="009B440E" w:rsidRPr="009A4211">
        <w:rPr>
          <w:vertAlign w:val="superscript"/>
        </w:rPr>
        <w:t>o</w:t>
      </w:r>
      <w:r w:rsidR="009B440E" w:rsidRPr="009A4211">
        <w:t xml:space="preserve"> and rotated around the y axis with 8 different angles </w:t>
      </w:r>
      <w:r w:rsidR="009B440E" w:rsidRPr="009A4211">
        <w:rPr>
          <w:rFonts w:ascii="Symbol" w:hAnsi="Symbol"/>
          <w:i/>
        </w:rPr>
        <w:t></w:t>
      </w:r>
      <w:r w:rsidR="009B440E" w:rsidRPr="009A4211">
        <w:t xml:space="preserve"> = 0</w:t>
      </w:r>
      <w:r w:rsidR="009B440E" w:rsidRPr="009A4211">
        <w:rPr>
          <w:vertAlign w:val="superscript"/>
        </w:rPr>
        <w:t>o</w:t>
      </w:r>
      <w:r w:rsidR="009B440E" w:rsidRPr="009A4211">
        <w:t>, 45</w:t>
      </w:r>
      <w:r w:rsidR="009B440E" w:rsidRPr="009A4211">
        <w:rPr>
          <w:vertAlign w:val="superscript"/>
        </w:rPr>
        <w:t>o</w:t>
      </w:r>
      <w:r w:rsidR="009B440E" w:rsidRPr="009A4211">
        <w:t>, 90</w:t>
      </w:r>
      <w:r w:rsidR="009B440E" w:rsidRPr="009A4211">
        <w:rPr>
          <w:vertAlign w:val="superscript"/>
        </w:rPr>
        <w:t>o</w:t>
      </w:r>
      <w:r w:rsidR="009B440E" w:rsidRPr="009A4211">
        <w:t>, 135</w:t>
      </w:r>
      <w:r w:rsidR="009B440E" w:rsidRPr="009A4211">
        <w:rPr>
          <w:vertAlign w:val="superscript"/>
        </w:rPr>
        <w:t>o</w:t>
      </w:r>
      <w:r w:rsidR="009B440E" w:rsidRPr="009A4211">
        <w:t>, 180</w:t>
      </w:r>
      <w:r w:rsidR="009B440E" w:rsidRPr="009A4211">
        <w:rPr>
          <w:vertAlign w:val="superscript"/>
        </w:rPr>
        <w:t>o</w:t>
      </w:r>
      <w:r w:rsidR="009B440E" w:rsidRPr="009A4211">
        <w:t>, 225</w:t>
      </w:r>
      <w:r w:rsidR="009B440E" w:rsidRPr="009A4211">
        <w:rPr>
          <w:vertAlign w:val="superscript"/>
        </w:rPr>
        <w:t>o</w:t>
      </w:r>
      <w:r w:rsidR="009B440E" w:rsidRPr="009A4211">
        <w:t>, 270</w:t>
      </w:r>
      <w:r w:rsidR="009B440E" w:rsidRPr="009A4211">
        <w:rPr>
          <w:vertAlign w:val="superscript"/>
        </w:rPr>
        <w:t>o</w:t>
      </w:r>
      <w:r w:rsidR="009B440E" w:rsidRPr="009A4211">
        <w:t>, and 315</w:t>
      </w:r>
      <w:r w:rsidR="009B440E" w:rsidRPr="009A4211">
        <w:rPr>
          <w:vertAlign w:val="superscript"/>
        </w:rPr>
        <w:t>o</w:t>
      </w:r>
      <w:r w:rsidR="009B440E">
        <w:t>”</w:t>
      </w:r>
      <w:r w:rsidR="00F250B1">
        <w:t xml:space="preserve"> with additional clarification </w:t>
      </w:r>
      <w:r w:rsidR="001D26A8">
        <w:t>“</w:t>
      </w:r>
      <w:r w:rsidR="001D26A8" w:rsidRPr="009A4211">
        <w:t xml:space="preserve">Due to the pedestal of the 2-axis positioner, combined-axes systems are not able to measure towards the </w:t>
      </w:r>
      <w:r w:rsidR="001D26A8" w:rsidRPr="009A4211">
        <w:rPr>
          <w:rFonts w:ascii="Symbol" w:hAnsi="Symbol"/>
          <w:i/>
        </w:rPr>
        <w:t></w:t>
      </w:r>
      <w:r w:rsidR="001D26A8" w:rsidRPr="009A4211">
        <w:t xml:space="preserve"> = 180</w:t>
      </w:r>
      <w:r w:rsidR="001D26A8" w:rsidRPr="009A4211">
        <w:rPr>
          <w:vertAlign w:val="superscript"/>
        </w:rPr>
        <w:t>o</w:t>
      </w:r>
      <w:r w:rsidR="001D26A8" w:rsidRPr="009A4211">
        <w:t xml:space="preserve"> direction; for those systems, the reference measurements at this reference AUT orientation can be skipped</w:t>
      </w:r>
      <w:r w:rsidR="00526B25">
        <w:t>.</w:t>
      </w:r>
      <w:r w:rsidR="001D26A8">
        <w:t>”</w:t>
      </w:r>
    </w:p>
    <w:p w14:paraId="06A2B30B" w14:textId="68664CDA" w:rsidR="00BC2E7F" w:rsidRDefault="00EF2CA3" w:rsidP="00BC2E7F">
      <w:r>
        <w:t xml:space="preserve">These antenna rotations/orientations are </w:t>
      </w:r>
      <w:r w:rsidR="009B440E">
        <w:t>further illustrated in Figure O.2.6.2-1</w:t>
      </w:r>
      <w:r>
        <w:t xml:space="preserve"> of </w:t>
      </w:r>
      <w:r>
        <w:fldChar w:fldCharType="begin"/>
      </w:r>
      <w:r>
        <w:instrText xml:space="preserve"> REF _Ref115421350 \r \h </w:instrText>
      </w:r>
      <w:r>
        <w:fldChar w:fldCharType="separate"/>
      </w:r>
      <w:r>
        <w:t>[4]</w:t>
      </w:r>
      <w:r>
        <w:fldChar w:fldCharType="end"/>
      </w:r>
    </w:p>
    <w:tbl>
      <w:tblPr>
        <w:tblStyle w:val="TableGrid"/>
        <w:tblW w:w="0" w:type="auto"/>
        <w:tblLook w:val="04A0" w:firstRow="1" w:lastRow="0" w:firstColumn="1" w:lastColumn="0" w:noHBand="0" w:noVBand="1"/>
      </w:tblPr>
      <w:tblGrid>
        <w:gridCol w:w="9631"/>
      </w:tblGrid>
      <w:tr w:rsidR="009B440E" w14:paraId="4F4A0E80" w14:textId="77777777" w:rsidTr="009B440E">
        <w:tc>
          <w:tcPr>
            <w:tcW w:w="9631" w:type="dxa"/>
          </w:tcPr>
          <w:p w14:paraId="0A5D81D0" w14:textId="2B7E7021" w:rsidR="00DB0BFD" w:rsidRPr="009A4211" w:rsidRDefault="00DB0BFD" w:rsidP="007F7056">
            <w:pPr>
              <w:pStyle w:val="TH"/>
              <w:spacing w:after="0"/>
            </w:pPr>
            <w:r>
              <w:rPr>
                <w:noProof/>
              </w:rPr>
              <w:lastRenderedPageBreak/>
              <w:drawing>
                <wp:inline distT="0" distB="0" distL="0" distR="0" wp14:anchorId="78951542" wp14:editId="0F60D6D6">
                  <wp:extent cx="5029200" cy="251041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0" cy="2510417"/>
                          </a:xfrm>
                          <a:prstGeom prst="rect">
                            <a:avLst/>
                          </a:prstGeom>
                          <a:noFill/>
                          <a:ln>
                            <a:noFill/>
                          </a:ln>
                        </pic:spPr>
                      </pic:pic>
                    </a:graphicData>
                  </a:graphic>
                </wp:inline>
              </w:drawing>
            </w:r>
          </w:p>
          <w:p w14:paraId="456859CE" w14:textId="224478F1" w:rsidR="009B440E" w:rsidRDefault="00DB0BFD" w:rsidP="00EF2CA3">
            <w:pPr>
              <w:pStyle w:val="TF"/>
            </w:pPr>
            <w:r w:rsidRPr="009A4211">
              <w:t xml:space="preserve">Figure O.2.6.2-2: Sample reference AUT orientations for position 4, P4, for reference antenna polarization </w:t>
            </w:r>
            <w:r w:rsidRPr="009A4211">
              <w:rPr>
                <w:rFonts w:ascii="Symbol" w:hAnsi="Symbol"/>
              </w:rPr>
              <w:t></w:t>
            </w:r>
            <w:r w:rsidRPr="009A4211">
              <w:rPr>
                <w:vertAlign w:val="subscript"/>
              </w:rPr>
              <w:t xml:space="preserve">pol </w:t>
            </w:r>
            <w:r w:rsidRPr="009A4211">
              <w:t>= 90</w:t>
            </w:r>
            <w:r w:rsidRPr="009A4211">
              <w:rPr>
                <w:vertAlign w:val="superscript"/>
              </w:rPr>
              <w:t>o</w:t>
            </w:r>
          </w:p>
        </w:tc>
      </w:tr>
    </w:tbl>
    <w:p w14:paraId="290F008A" w14:textId="7488E536" w:rsidR="009B440E" w:rsidRDefault="00CE4FC8" w:rsidP="00BC2E7F">
      <w:r>
        <w:t>Sample r</w:t>
      </w:r>
      <w:r w:rsidR="00F74B0A">
        <w:t>efere</w:t>
      </w:r>
      <w:r>
        <w:t>nce antenna orientations</w:t>
      </w:r>
      <w:r w:rsidR="00617CC1">
        <w:t xml:space="preserve"> of the QoQZ validation</w:t>
      </w:r>
      <w:r>
        <w:t xml:space="preserve"> with significant positioner blocking are highlighted in </w:t>
      </w:r>
      <w:r w:rsidR="00BC35F6">
        <w:fldChar w:fldCharType="begin"/>
      </w:r>
      <w:r w:rsidR="00BC35F6">
        <w:instrText xml:space="preserve"> REF _Ref115422437 \h </w:instrText>
      </w:r>
      <w:r w:rsidR="00BC35F6">
        <w:fldChar w:fldCharType="separate"/>
      </w:r>
      <w:r w:rsidR="00BC35F6">
        <w:t xml:space="preserve">Figure </w:t>
      </w:r>
      <w:r w:rsidR="00BC35F6">
        <w:rPr>
          <w:noProof/>
        </w:rPr>
        <w:t>1</w:t>
      </w:r>
      <w:r w:rsidR="00BC35F6">
        <w:fldChar w:fldCharType="end"/>
      </w:r>
      <w:r w:rsidR="00EF2CA3">
        <w:t xml:space="preserve"> </w:t>
      </w:r>
      <w:r w:rsidR="00CB506B">
        <w:t xml:space="preserve">with the </w:t>
      </w:r>
      <w:r w:rsidR="00614F11">
        <w:t xml:space="preserve">reference </w:t>
      </w:r>
      <w:r w:rsidR="00CB506B">
        <w:t>antenna pointing towards the</w:t>
      </w:r>
      <w:r w:rsidR="00617CC1">
        <w:t xml:space="preserve"> positioner</w:t>
      </w:r>
      <w:r w:rsidR="001330A5">
        <w:t>.</w:t>
      </w:r>
    </w:p>
    <w:p w14:paraId="24969F31" w14:textId="05EF099A" w:rsidR="00B319D7" w:rsidRDefault="00BB5F78" w:rsidP="00CE4FC8">
      <w:pPr>
        <w:spacing w:after="0"/>
      </w:pPr>
      <w:r w:rsidRPr="00BB5F78">
        <w:rPr>
          <w:noProof/>
        </w:rPr>
        <w:drawing>
          <wp:inline distT="0" distB="0" distL="0" distR="0" wp14:anchorId="0DA6E1BA" wp14:editId="0B6467B3">
            <wp:extent cx="2651760" cy="2550548"/>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1760" cy="2550548"/>
                    </a:xfrm>
                    <a:prstGeom prst="rect">
                      <a:avLst/>
                    </a:prstGeom>
                    <a:noFill/>
                    <a:ln>
                      <a:noFill/>
                    </a:ln>
                  </pic:spPr>
                </pic:pic>
              </a:graphicData>
            </a:graphic>
          </wp:inline>
        </w:drawing>
      </w:r>
      <w:r w:rsidRPr="00BB5F78">
        <w:rPr>
          <w:noProof/>
        </w:rPr>
        <w:drawing>
          <wp:inline distT="0" distB="0" distL="0" distR="0" wp14:anchorId="562E4C73" wp14:editId="7647AAC4">
            <wp:extent cx="2651760" cy="19848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a:ext>
                      </a:extLst>
                    </a:blip>
                    <a:srcRect/>
                    <a:stretch/>
                  </pic:blipFill>
                  <pic:spPr bwMode="auto">
                    <a:xfrm>
                      <a:off x="0" y="0"/>
                      <a:ext cx="2651760" cy="1984838"/>
                    </a:xfrm>
                    <a:prstGeom prst="rect">
                      <a:avLst/>
                    </a:prstGeom>
                    <a:noFill/>
                    <a:ln>
                      <a:noFill/>
                    </a:ln>
                    <a:extLst>
                      <a:ext uri="{53640926-AAD7-44D8-BBD7-CCE9431645EC}">
                        <a14:shadowObscured xmlns:a14="http://schemas.microsoft.com/office/drawing/2010/main"/>
                      </a:ext>
                    </a:extLst>
                  </pic:spPr>
                </pic:pic>
              </a:graphicData>
            </a:graphic>
          </wp:inline>
        </w:drawing>
      </w:r>
    </w:p>
    <w:p w14:paraId="6D0E06A1" w14:textId="2F97DABF" w:rsidR="004F078F" w:rsidRDefault="004F078F" w:rsidP="00CE4FC8">
      <w:pPr>
        <w:spacing w:after="0"/>
      </w:pPr>
      <w:r w:rsidRPr="004F078F">
        <w:rPr>
          <w:noProof/>
        </w:rPr>
        <w:drawing>
          <wp:inline distT="0" distB="0" distL="0" distR="0" wp14:anchorId="68591039" wp14:editId="75174540">
            <wp:extent cx="2651760" cy="2550548"/>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1760" cy="2550548"/>
                    </a:xfrm>
                    <a:prstGeom prst="rect">
                      <a:avLst/>
                    </a:prstGeom>
                    <a:noFill/>
                    <a:ln>
                      <a:noFill/>
                    </a:ln>
                  </pic:spPr>
                </pic:pic>
              </a:graphicData>
            </a:graphic>
          </wp:inline>
        </w:drawing>
      </w:r>
      <w:r w:rsidRPr="004F078F">
        <w:rPr>
          <w:noProof/>
        </w:rPr>
        <w:drawing>
          <wp:inline distT="0" distB="0" distL="0" distR="0" wp14:anchorId="3BD0549E" wp14:editId="3183A4CD">
            <wp:extent cx="2651760" cy="196072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extLst>
                        <a:ext uri="{28A0092B-C50C-407E-A947-70E740481C1C}">
                          <a14:useLocalDpi xmlns:a14="http://schemas.microsoft.com/office/drawing/2010/main"/>
                        </a:ext>
                      </a:extLst>
                    </a:blip>
                    <a:srcRect/>
                    <a:stretch/>
                  </pic:blipFill>
                  <pic:spPr bwMode="auto">
                    <a:xfrm>
                      <a:off x="0" y="0"/>
                      <a:ext cx="2651760" cy="1960721"/>
                    </a:xfrm>
                    <a:prstGeom prst="rect">
                      <a:avLst/>
                    </a:prstGeom>
                    <a:noFill/>
                    <a:ln>
                      <a:noFill/>
                    </a:ln>
                    <a:extLst>
                      <a:ext uri="{53640926-AAD7-44D8-BBD7-CCE9431645EC}">
                        <a14:shadowObscured xmlns:a14="http://schemas.microsoft.com/office/drawing/2010/main"/>
                      </a:ext>
                    </a:extLst>
                  </pic:spPr>
                </pic:pic>
              </a:graphicData>
            </a:graphic>
          </wp:inline>
        </w:drawing>
      </w:r>
    </w:p>
    <w:p w14:paraId="076CE6BA" w14:textId="6D8A69AA" w:rsidR="00CE4FC8" w:rsidRDefault="00CE4FC8" w:rsidP="00CE4FC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QoQZ reference antenna orientation with blocking effect</w:t>
      </w:r>
      <w:r w:rsidR="00614F11">
        <w:t xml:space="preserve"> (left in the mounting position, right in the measurement position</w:t>
      </w:r>
      <w:r w:rsidR="00B97B81">
        <w:t xml:space="preserve"> for </w:t>
      </w:r>
      <w:r w:rsidR="00111719">
        <w:t>peak EIRP</w:t>
      </w:r>
      <w:r w:rsidR="00614F11">
        <w:t xml:space="preserve">). </w:t>
      </w:r>
    </w:p>
    <w:p w14:paraId="5E61300A" w14:textId="720493F1" w:rsidR="00CE4FC8" w:rsidRDefault="001330A5" w:rsidP="001330A5">
      <w:pPr>
        <w:pStyle w:val="Caption"/>
      </w:pPr>
      <w:bookmarkStart w:id="6" w:name="_Ref115429970"/>
      <w:r>
        <w:lastRenderedPageBreak/>
        <w:t xml:space="preserve">Observation </w:t>
      </w:r>
      <w:r>
        <w:fldChar w:fldCharType="begin"/>
      </w:r>
      <w:r>
        <w:instrText xml:space="preserve"> SEQ Observation \* ARABIC </w:instrText>
      </w:r>
      <w:r>
        <w:fldChar w:fldCharType="separate"/>
      </w:r>
      <w:r w:rsidR="005B14C0">
        <w:rPr>
          <w:noProof/>
        </w:rPr>
        <w:t>1</w:t>
      </w:r>
      <w:r>
        <w:fldChar w:fldCharType="end"/>
      </w:r>
      <w:r>
        <w:t>: The current FR2 QoQZ validation procedure takes the positioner blocking effects into account.</w:t>
      </w:r>
      <w:bookmarkEnd w:id="6"/>
      <w:r>
        <w:t xml:space="preserve"> </w:t>
      </w:r>
    </w:p>
    <w:p w14:paraId="21ECF826" w14:textId="25A699F5" w:rsidR="00BA15CA" w:rsidRDefault="00BA15CA" w:rsidP="00BA15CA">
      <w:r>
        <w:t xml:space="preserve">The positioner blocking can be avoided during the DUT measurements and the </w:t>
      </w:r>
      <w:r w:rsidR="005E70F2">
        <w:t xml:space="preserve">QoQZ validation if </w:t>
      </w:r>
      <w:r>
        <w:t xml:space="preserve">the re-positioning concept, introduced in Clause N.3 </w:t>
      </w:r>
      <w:r>
        <w:fldChar w:fldCharType="begin"/>
      </w:r>
      <w:r>
        <w:instrText xml:space="preserve"> REF _Ref115421350 \r \h </w:instrText>
      </w:r>
      <w:r>
        <w:fldChar w:fldCharType="separate"/>
      </w:r>
      <w:r>
        <w:t>[4]</w:t>
      </w:r>
      <w:r>
        <w:fldChar w:fldCharType="end"/>
      </w:r>
      <w:r>
        <w:t xml:space="preserve">, </w:t>
      </w:r>
      <w:r w:rsidR="005E70F2">
        <w:t xml:space="preserve">is adopted, </w:t>
      </w:r>
      <w:r>
        <w:t xml:space="preserve">e.g., </w:t>
      </w:r>
    </w:p>
    <w:tbl>
      <w:tblPr>
        <w:tblStyle w:val="TableGrid"/>
        <w:tblW w:w="0" w:type="auto"/>
        <w:tblLook w:val="04A0" w:firstRow="1" w:lastRow="0" w:firstColumn="1" w:lastColumn="0" w:noHBand="0" w:noVBand="1"/>
      </w:tblPr>
      <w:tblGrid>
        <w:gridCol w:w="9631"/>
      </w:tblGrid>
      <w:tr w:rsidR="00BA15CA" w14:paraId="4C18ABBD" w14:textId="77777777" w:rsidTr="006C4775">
        <w:tc>
          <w:tcPr>
            <w:tcW w:w="9631" w:type="dxa"/>
          </w:tcPr>
          <w:p w14:paraId="1AF88BD2" w14:textId="77777777" w:rsidR="00BA15CA" w:rsidRDefault="00BA15CA" w:rsidP="006C4775">
            <w:r>
              <w:t>Near-field coupling effects between the antenna and the pedestals/positioners/fixtures generally cause increased signal ripples. Re-positioning the DUT by directing the beam peak away from those areas can reduce the effect of signal ripple on EIRP/EIS measurements.</w:t>
            </w:r>
          </w:p>
        </w:tc>
      </w:tr>
    </w:tbl>
    <w:p w14:paraId="4A7FB23D" w14:textId="47E74D23" w:rsidR="00955574" w:rsidRDefault="00084FC2" w:rsidP="00955574">
      <w:r>
        <w:t>Specifically</w:t>
      </w:r>
      <w:r w:rsidR="00955574">
        <w:t xml:space="preserve">, the blocking of the positioning can be eliminated by re-positioning the device in two separate orientations so that both hemispheres are tested without any blockage, e.g., </w:t>
      </w:r>
    </w:p>
    <w:tbl>
      <w:tblPr>
        <w:tblStyle w:val="TableGrid"/>
        <w:tblW w:w="0" w:type="auto"/>
        <w:tblLook w:val="04A0" w:firstRow="1" w:lastRow="0" w:firstColumn="1" w:lastColumn="0" w:noHBand="0" w:noVBand="1"/>
      </w:tblPr>
      <w:tblGrid>
        <w:gridCol w:w="9631"/>
      </w:tblGrid>
      <w:tr w:rsidR="00955574" w14:paraId="16772487" w14:textId="77777777" w:rsidTr="006C4775">
        <w:tc>
          <w:tcPr>
            <w:tcW w:w="9631" w:type="dxa"/>
          </w:tcPr>
          <w:p w14:paraId="1FE5BA0F" w14:textId="77777777" w:rsidR="00955574" w:rsidRPr="009A4211" w:rsidRDefault="00955574" w:rsidP="006C4775">
            <w:pPr>
              <w:pStyle w:val="TH"/>
            </w:pPr>
            <w:bookmarkStart w:id="7" w:name="_Ref521493134"/>
            <w:r>
              <w:rPr>
                <w:noProof/>
              </w:rPr>
              <w:drawing>
                <wp:inline distT="0" distB="0" distL="0" distR="0" wp14:anchorId="0060BFE1" wp14:editId="1AADC1B4">
                  <wp:extent cx="6116955" cy="2361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955" cy="2361565"/>
                          </a:xfrm>
                          <a:prstGeom prst="rect">
                            <a:avLst/>
                          </a:prstGeom>
                          <a:noFill/>
                          <a:ln>
                            <a:noFill/>
                          </a:ln>
                        </pic:spPr>
                      </pic:pic>
                    </a:graphicData>
                  </a:graphic>
                </wp:inline>
              </w:drawing>
            </w:r>
          </w:p>
          <w:bookmarkEnd w:id="7"/>
          <w:p w14:paraId="4B1F9A81" w14:textId="77777777" w:rsidR="00955574" w:rsidRDefault="00955574" w:rsidP="006C4775">
            <w:pPr>
              <w:pStyle w:val="TF"/>
            </w:pPr>
            <w:r w:rsidRPr="009A4211">
              <w:t>Figure N.3-2: DUT re-positioning for an example of combined-axes system</w:t>
            </w:r>
          </w:p>
        </w:tc>
      </w:tr>
    </w:tbl>
    <w:p w14:paraId="64B68E58" w14:textId="11CCD62A" w:rsidR="00955574" w:rsidRDefault="007566DD" w:rsidP="001330A5">
      <w:r>
        <w:t xml:space="preserve">This is also clarified in Annex O of </w:t>
      </w:r>
      <w:r w:rsidR="00B42174">
        <w:fldChar w:fldCharType="begin"/>
      </w:r>
      <w:r w:rsidR="00B42174">
        <w:instrText xml:space="preserve"> REF _Ref115421350 \r \h </w:instrText>
      </w:r>
      <w:r w:rsidR="00B42174">
        <w:fldChar w:fldCharType="separate"/>
      </w:r>
      <w:r w:rsidR="00B42174">
        <w:t>[4]</w:t>
      </w:r>
      <w:r w:rsidR="00B42174">
        <w:fldChar w:fldCharType="end"/>
      </w:r>
      <w:r w:rsidR="003A5065">
        <w:t>, e.g.,</w:t>
      </w:r>
    </w:p>
    <w:tbl>
      <w:tblPr>
        <w:tblStyle w:val="TableGrid"/>
        <w:tblW w:w="0" w:type="auto"/>
        <w:tblLook w:val="04A0" w:firstRow="1" w:lastRow="0" w:firstColumn="1" w:lastColumn="0" w:noHBand="0" w:noVBand="1"/>
      </w:tblPr>
      <w:tblGrid>
        <w:gridCol w:w="9631"/>
      </w:tblGrid>
      <w:tr w:rsidR="003A5065" w14:paraId="292868C0" w14:textId="77777777" w:rsidTr="003A5065">
        <w:tc>
          <w:tcPr>
            <w:tcW w:w="9631" w:type="dxa"/>
          </w:tcPr>
          <w:p w14:paraId="1837A101" w14:textId="4C14B4B0" w:rsidR="003A5065" w:rsidRDefault="003A5065" w:rsidP="001330A5">
            <w:r>
              <w:t>If the device re-positioning approach outlined in Annex N is adopted for all EIRP/EIS/TRP based conformance test cases, the quality of quiet zone analysis is sufficient only</w:t>
            </w:r>
            <w:r>
              <w:rPr>
                <w:rFonts w:ascii="Arial" w:hAnsi="Arial" w:cs="Arial"/>
              </w:rPr>
              <w:t>°</w:t>
            </w:r>
            <w:r>
              <w:t xml:space="preserve"> for </w:t>
            </w:r>
            <w:r w:rsidRPr="00B324FE">
              <w:rPr>
                <w:rFonts w:ascii="Symbol" w:hAnsi="Symbol"/>
              </w:rPr>
              <w:t></w:t>
            </w:r>
            <w:r>
              <w:t xml:space="preserve"> = 0</w:t>
            </w:r>
            <w:r>
              <w:rPr>
                <w:rFonts w:ascii="Arial" w:hAnsi="Arial" w:cs="Arial"/>
              </w:rPr>
              <w:t>°</w:t>
            </w:r>
            <w:r>
              <w:t>, 45</w:t>
            </w:r>
            <w:r>
              <w:rPr>
                <w:rFonts w:ascii="Arial" w:hAnsi="Arial" w:cs="Arial"/>
              </w:rPr>
              <w:t>°</w:t>
            </w:r>
            <w:r>
              <w:t>, 90</w:t>
            </w:r>
            <w:r>
              <w:rPr>
                <w:rFonts w:ascii="Arial" w:hAnsi="Arial" w:cs="Arial"/>
              </w:rPr>
              <w:t>°</w:t>
            </w:r>
            <w:r>
              <w:t>, 270</w:t>
            </w:r>
            <w:r>
              <w:rPr>
                <w:rFonts w:ascii="Arial" w:hAnsi="Arial" w:cs="Arial"/>
              </w:rPr>
              <w:t>°</w:t>
            </w:r>
            <w:r>
              <w:t>, and 315</w:t>
            </w:r>
            <w:r>
              <w:rPr>
                <w:rFonts w:ascii="Arial" w:hAnsi="Arial" w:cs="Arial"/>
              </w:rPr>
              <w:t>°</w:t>
            </w:r>
            <w:r>
              <w:rPr>
                <w:sz w:val="13"/>
                <w:szCs w:val="13"/>
              </w:rPr>
              <w:t>.</w:t>
            </w:r>
          </w:p>
        </w:tc>
      </w:tr>
    </w:tbl>
    <w:p w14:paraId="6ED27C57" w14:textId="072658C5" w:rsidR="00960079" w:rsidRDefault="00960079" w:rsidP="00960079">
      <w:pPr>
        <w:pStyle w:val="Caption"/>
      </w:pPr>
      <w:bookmarkStart w:id="8" w:name="_Ref115429971"/>
      <w:r>
        <w:t xml:space="preserve">Observation </w:t>
      </w:r>
      <w:r>
        <w:fldChar w:fldCharType="begin"/>
      </w:r>
      <w:r>
        <w:instrText xml:space="preserve"> SEQ Observation \* ARABIC </w:instrText>
      </w:r>
      <w:r>
        <w:fldChar w:fldCharType="separate"/>
      </w:r>
      <w:r w:rsidR="005B14C0">
        <w:rPr>
          <w:noProof/>
        </w:rPr>
        <w:t>2</w:t>
      </w:r>
      <w:r>
        <w:fldChar w:fldCharType="end"/>
      </w:r>
      <w:r>
        <w:t xml:space="preserve">: </w:t>
      </w:r>
      <w:r w:rsidR="005C578A">
        <w:t>T</w:t>
      </w:r>
      <w:r>
        <w:t>he positioner blocking</w:t>
      </w:r>
      <w:r w:rsidR="005C578A">
        <w:t xml:space="preserve"> effect can be avoided if the DUT measurements and QoQZ validation procedures take the re-pos</w:t>
      </w:r>
      <w:r w:rsidR="00C6630F">
        <w:t>i</w:t>
      </w:r>
      <w:r w:rsidR="005C578A">
        <w:t>tioning concept into account</w:t>
      </w:r>
      <w:r>
        <w:t>.</w:t>
      </w:r>
      <w:bookmarkEnd w:id="8"/>
      <w:r>
        <w:t xml:space="preserve"> </w:t>
      </w:r>
    </w:p>
    <w:p w14:paraId="21928B00" w14:textId="15B57112" w:rsidR="00960079" w:rsidRPr="0020092C" w:rsidRDefault="00C6630F" w:rsidP="00960079">
      <w:pPr>
        <w:pStyle w:val="Caption"/>
        <w:rPr>
          <w:b w:val="0"/>
          <w:bCs/>
        </w:rPr>
      </w:pPr>
      <w:r w:rsidRPr="0020092C">
        <w:rPr>
          <w:b w:val="0"/>
          <w:bCs/>
        </w:rPr>
        <w:t>The FR2 multi-probe</w:t>
      </w:r>
      <w:r w:rsidR="00EC7BFD" w:rsidRPr="0020092C">
        <w:rPr>
          <w:b w:val="0"/>
          <w:bCs/>
        </w:rPr>
        <w:t>/multi-AoA test system</w:t>
      </w:r>
      <w:r w:rsidR="00E95016">
        <w:rPr>
          <w:b w:val="0"/>
          <w:bCs/>
        </w:rPr>
        <w:t>s</w:t>
      </w:r>
      <w:r w:rsidR="00EC7BFD" w:rsidRPr="0020092C">
        <w:rPr>
          <w:b w:val="0"/>
          <w:bCs/>
        </w:rPr>
        <w:t xml:space="preserve"> defined so far are</w:t>
      </w:r>
      <w:r w:rsidR="0020092C">
        <w:rPr>
          <w:b w:val="0"/>
          <w:bCs/>
        </w:rPr>
        <w:t xml:space="preserve"> the 2 AoA RRM systems</w:t>
      </w:r>
      <w:r w:rsidR="00EC7BFD" w:rsidRPr="0020092C">
        <w:rPr>
          <w:b w:val="0"/>
          <w:bCs/>
        </w:rPr>
        <w:t>:</w:t>
      </w:r>
    </w:p>
    <w:p w14:paraId="0FFD9D10" w14:textId="72D50A34" w:rsidR="00F73617" w:rsidRPr="004229B0" w:rsidRDefault="00F73617" w:rsidP="00F73617">
      <w:pPr>
        <w:pStyle w:val="ListParagraph"/>
        <w:keepNext/>
        <w:numPr>
          <w:ilvl w:val="0"/>
          <w:numId w:val="44"/>
        </w:numPr>
      </w:pPr>
      <w:r w:rsidRPr="004229B0">
        <w:lastRenderedPageBreak/>
        <w:t xml:space="preserve">DFF, e.g., Figure B.2.2.1-2 of </w:t>
      </w:r>
      <w:r w:rsidRPr="004229B0">
        <w:fldChar w:fldCharType="begin"/>
      </w:r>
      <w:r w:rsidRPr="004229B0">
        <w:instrText xml:space="preserve"> REF _Ref115106065 \r \h </w:instrText>
      </w:r>
      <w:r w:rsidRPr="004229B0">
        <w:fldChar w:fldCharType="separate"/>
      </w:r>
      <w:r w:rsidR="000C6B4C">
        <w:t>[5]</w:t>
      </w:r>
      <w:r w:rsidRPr="004229B0">
        <w:fldChar w:fldCharType="end"/>
      </w:r>
    </w:p>
    <w:tbl>
      <w:tblPr>
        <w:tblStyle w:val="TableGrid"/>
        <w:tblW w:w="0" w:type="auto"/>
        <w:tblInd w:w="720" w:type="dxa"/>
        <w:tblLook w:val="04A0" w:firstRow="1" w:lastRow="0" w:firstColumn="1" w:lastColumn="0" w:noHBand="0" w:noVBand="1"/>
      </w:tblPr>
      <w:tblGrid>
        <w:gridCol w:w="8911"/>
      </w:tblGrid>
      <w:tr w:rsidR="00F73617" w:rsidRPr="004229B0" w14:paraId="6FB59077" w14:textId="77777777" w:rsidTr="006C4775">
        <w:tc>
          <w:tcPr>
            <w:tcW w:w="8911" w:type="dxa"/>
          </w:tcPr>
          <w:p w14:paraId="0F7F2D9B" w14:textId="77777777" w:rsidR="00F73617" w:rsidRPr="004229B0" w:rsidRDefault="00F73617" w:rsidP="006C4775">
            <w:pPr>
              <w:pStyle w:val="TH"/>
              <w:keepLines w:val="0"/>
              <w:spacing w:after="0"/>
              <w:jc w:val="left"/>
            </w:pPr>
            <w:r w:rsidRPr="004229B0">
              <w:rPr>
                <w:noProof/>
              </w:rPr>
              <w:drawing>
                <wp:inline distT="0" distB="0" distL="0" distR="0" wp14:anchorId="7E404DFA" wp14:editId="03FC5E91">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1D054F07" w14:textId="77777777" w:rsidR="00F73617" w:rsidRPr="004229B0" w:rsidRDefault="00F73617" w:rsidP="006C4775">
            <w:pPr>
              <w:pStyle w:val="TF"/>
              <w:keepNext/>
              <w:keepLines w:val="0"/>
              <w:jc w:val="left"/>
            </w:pPr>
            <w:r w:rsidRPr="004229B0">
              <w:t>Figure B.2.2.1-2: Example RRM baseline system with two simultaneously active AoA using a DFF setup.</w:t>
            </w:r>
          </w:p>
        </w:tc>
      </w:tr>
    </w:tbl>
    <w:p w14:paraId="237405AA" w14:textId="6B36D3C7" w:rsidR="00F73617" w:rsidRPr="004229B0" w:rsidRDefault="00F73617" w:rsidP="00F73617">
      <w:pPr>
        <w:pStyle w:val="ListParagraph"/>
        <w:keepNext/>
        <w:numPr>
          <w:ilvl w:val="0"/>
          <w:numId w:val="44"/>
        </w:numPr>
      </w:pPr>
      <w:r w:rsidRPr="004229B0">
        <w:t xml:space="preserve">Enhanced IFF, e.g., Figure B.2.6.1-1of </w:t>
      </w:r>
      <w:r w:rsidRPr="004229B0">
        <w:fldChar w:fldCharType="begin"/>
      </w:r>
      <w:r w:rsidRPr="004229B0">
        <w:instrText xml:space="preserve"> REF _Ref115106065 \r \h </w:instrText>
      </w:r>
      <w:r w:rsidRPr="004229B0">
        <w:fldChar w:fldCharType="separate"/>
      </w:r>
      <w:r w:rsidR="000C6B4C">
        <w:t>[5]</w:t>
      </w:r>
      <w:r w:rsidRPr="004229B0">
        <w:fldChar w:fldCharType="end"/>
      </w:r>
    </w:p>
    <w:tbl>
      <w:tblPr>
        <w:tblStyle w:val="TableGrid"/>
        <w:tblW w:w="0" w:type="auto"/>
        <w:tblInd w:w="720" w:type="dxa"/>
        <w:tblLook w:val="04A0" w:firstRow="1" w:lastRow="0" w:firstColumn="1" w:lastColumn="0" w:noHBand="0" w:noVBand="1"/>
      </w:tblPr>
      <w:tblGrid>
        <w:gridCol w:w="8911"/>
      </w:tblGrid>
      <w:tr w:rsidR="00F73617" w:rsidRPr="004229B0" w14:paraId="4B0F42AF" w14:textId="77777777" w:rsidTr="006C4775">
        <w:tc>
          <w:tcPr>
            <w:tcW w:w="8911" w:type="dxa"/>
          </w:tcPr>
          <w:p w14:paraId="350A1BE8" w14:textId="77777777" w:rsidR="00F73617" w:rsidRPr="004229B0" w:rsidRDefault="00F73617" w:rsidP="006C4775">
            <w:pPr>
              <w:pStyle w:val="TH"/>
              <w:keepLines w:val="0"/>
              <w:spacing w:after="0"/>
              <w:jc w:val="left"/>
            </w:pPr>
            <w:r w:rsidRPr="004229B0">
              <w:rPr>
                <w:noProof/>
              </w:rPr>
              <w:drawing>
                <wp:inline distT="0" distB="0" distL="0" distR="0" wp14:anchorId="03C4A623" wp14:editId="2A264ECE">
                  <wp:extent cx="3657600" cy="2704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5FDD6241" w14:textId="77777777" w:rsidR="00F73617" w:rsidRPr="004229B0" w:rsidRDefault="00F73617" w:rsidP="006C4775">
            <w:pPr>
              <w:pStyle w:val="TF"/>
              <w:keepNext/>
              <w:keepLines w:val="0"/>
              <w:jc w:val="left"/>
            </w:pPr>
            <w:r w:rsidRPr="004229B0">
              <w:t>Figure B.2.6.1-1: Example RRM baseline system with two simultaneously active AoA using an Enhanced IFF setup</w:t>
            </w:r>
          </w:p>
        </w:tc>
      </w:tr>
    </w:tbl>
    <w:p w14:paraId="237E2312" w14:textId="77777777" w:rsidR="00F73617" w:rsidRPr="004229B0" w:rsidRDefault="00F73617" w:rsidP="00F73617">
      <w:pPr>
        <w:spacing w:after="0"/>
        <w:rPr>
          <w:rFonts w:eastAsia="Calibri"/>
          <w:szCs w:val="22"/>
          <w:lang w:val="en-US"/>
        </w:rPr>
      </w:pPr>
      <w:r w:rsidRPr="004229B0">
        <w:br w:type="page"/>
      </w:r>
    </w:p>
    <w:p w14:paraId="391427CE" w14:textId="6659F529" w:rsidR="00F73617" w:rsidRPr="004229B0" w:rsidRDefault="00F73617" w:rsidP="00F73617">
      <w:pPr>
        <w:pStyle w:val="ListParagraph"/>
        <w:keepLines/>
        <w:widowControl w:val="0"/>
        <w:numPr>
          <w:ilvl w:val="0"/>
          <w:numId w:val="44"/>
        </w:numPr>
      </w:pPr>
      <w:r w:rsidRPr="004229B0">
        <w:lastRenderedPageBreak/>
        <w:t xml:space="preserve">Hybrid IFF+DFF, e.g., Figure B.2.7.1-1of </w:t>
      </w:r>
      <w:r w:rsidRPr="004229B0">
        <w:fldChar w:fldCharType="begin"/>
      </w:r>
      <w:r w:rsidRPr="004229B0">
        <w:instrText xml:space="preserve"> REF _Ref115106065 \r \h </w:instrText>
      </w:r>
      <w:r w:rsidRPr="004229B0">
        <w:fldChar w:fldCharType="separate"/>
      </w:r>
      <w:r w:rsidR="000C6B4C">
        <w:t>[5]</w:t>
      </w:r>
      <w:r w:rsidRPr="004229B0">
        <w:fldChar w:fldCharType="end"/>
      </w:r>
    </w:p>
    <w:tbl>
      <w:tblPr>
        <w:tblStyle w:val="TableGrid"/>
        <w:tblW w:w="0" w:type="auto"/>
        <w:tblInd w:w="720" w:type="dxa"/>
        <w:tblLook w:val="04A0" w:firstRow="1" w:lastRow="0" w:firstColumn="1" w:lastColumn="0" w:noHBand="0" w:noVBand="1"/>
      </w:tblPr>
      <w:tblGrid>
        <w:gridCol w:w="8911"/>
      </w:tblGrid>
      <w:tr w:rsidR="00F73617" w:rsidRPr="004229B0" w14:paraId="1F7609E1" w14:textId="77777777" w:rsidTr="006C4775">
        <w:tc>
          <w:tcPr>
            <w:tcW w:w="9631" w:type="dxa"/>
          </w:tcPr>
          <w:p w14:paraId="5547E180" w14:textId="77777777" w:rsidR="00F73617" w:rsidRPr="004229B0" w:rsidRDefault="00F73617" w:rsidP="006C4775">
            <w:pPr>
              <w:pStyle w:val="TH"/>
              <w:keepLines w:val="0"/>
              <w:widowControl w:val="0"/>
              <w:spacing w:after="0"/>
              <w:jc w:val="left"/>
            </w:pPr>
            <w:r w:rsidRPr="004229B0">
              <w:rPr>
                <w:noProof/>
              </w:rPr>
              <w:drawing>
                <wp:inline distT="0" distB="0" distL="0" distR="0" wp14:anchorId="1AA9F042" wp14:editId="0472C908">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41A2D945" w14:textId="77777777" w:rsidR="00F73617" w:rsidRPr="004229B0" w:rsidRDefault="00F73617" w:rsidP="006C4775">
            <w:pPr>
              <w:pStyle w:val="TF"/>
              <w:keepNext/>
              <w:keepLines w:val="0"/>
              <w:widowControl w:val="0"/>
              <w:jc w:val="left"/>
            </w:pPr>
            <w:r w:rsidRPr="004229B0">
              <w:t>Figure B.2.7.1-1: Example RRM baseline system with two simultaneously active AoA using an IFF+DFF setup</w:t>
            </w:r>
          </w:p>
        </w:tc>
      </w:tr>
    </w:tbl>
    <w:p w14:paraId="0E65C01A" w14:textId="72BA5959" w:rsidR="00F73617" w:rsidRPr="004229B0" w:rsidRDefault="000735B9" w:rsidP="00F73617">
      <w:r>
        <w:t>a</w:t>
      </w:r>
      <w:r w:rsidR="00263931">
        <w:t>nd the</w:t>
      </w:r>
      <w:r w:rsidR="00F73617" w:rsidRPr="004229B0">
        <w:t xml:space="preserve"> FR2 MIMO OTA</w:t>
      </w:r>
      <w:r w:rsidR="00263931">
        <w:t xml:space="preserve"> system</w:t>
      </w:r>
      <w:r w:rsidR="00F73617" w:rsidRPr="004229B0">
        <w:t xml:space="preserve">, i.e., Figure B.2.1-2 of </w:t>
      </w:r>
      <w:r w:rsidR="00F73617" w:rsidRPr="004229B0">
        <w:fldChar w:fldCharType="begin"/>
      </w:r>
      <w:r w:rsidR="00F73617" w:rsidRPr="004229B0">
        <w:instrText xml:space="preserve"> REF _Ref115106576 \r \h </w:instrText>
      </w:r>
      <w:r w:rsidR="00F73617" w:rsidRPr="004229B0">
        <w:fldChar w:fldCharType="separate"/>
      </w:r>
      <w:r w:rsidR="000C6B4C">
        <w:t>[6]</w:t>
      </w:r>
      <w:r w:rsidR="00F73617" w:rsidRPr="004229B0">
        <w:fldChar w:fldCharType="end"/>
      </w:r>
      <w:r w:rsidR="00F73617" w:rsidRPr="004229B0">
        <w:t>.</w:t>
      </w:r>
    </w:p>
    <w:tbl>
      <w:tblPr>
        <w:tblStyle w:val="TableGrid"/>
        <w:tblW w:w="0" w:type="auto"/>
        <w:tblLook w:val="04A0" w:firstRow="1" w:lastRow="0" w:firstColumn="1" w:lastColumn="0" w:noHBand="0" w:noVBand="1"/>
      </w:tblPr>
      <w:tblGrid>
        <w:gridCol w:w="9631"/>
      </w:tblGrid>
      <w:tr w:rsidR="00F73617" w:rsidRPr="004229B0" w14:paraId="1C5C0FBD" w14:textId="77777777" w:rsidTr="006C4775">
        <w:tc>
          <w:tcPr>
            <w:tcW w:w="9631" w:type="dxa"/>
          </w:tcPr>
          <w:p w14:paraId="7087643C" w14:textId="77777777" w:rsidR="00F73617" w:rsidRPr="004229B0" w:rsidRDefault="00F73617" w:rsidP="006C4775">
            <w:pPr>
              <w:spacing w:after="0"/>
              <w:jc w:val="center"/>
            </w:pPr>
            <w:r w:rsidRPr="004229B0">
              <w:rPr>
                <w:noProof/>
              </w:rPr>
              <w:drawing>
                <wp:inline distT="0" distB="0" distL="0" distR="0" wp14:anchorId="4296DC19" wp14:editId="30867AA8">
                  <wp:extent cx="2286000" cy="1992169"/>
                  <wp:effectExtent l="0" t="0" r="0" b="8255"/>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0" cy="1992169"/>
                          </a:xfrm>
                          <a:prstGeom prst="rect">
                            <a:avLst/>
                          </a:prstGeom>
                          <a:noFill/>
                          <a:ln>
                            <a:noFill/>
                          </a:ln>
                        </pic:spPr>
                      </pic:pic>
                    </a:graphicData>
                  </a:graphic>
                </wp:inline>
              </w:drawing>
            </w:r>
          </w:p>
          <w:p w14:paraId="151D33E2" w14:textId="77777777" w:rsidR="00F73617" w:rsidRPr="004229B0" w:rsidRDefault="00F73617" w:rsidP="006C4775">
            <w:pPr>
              <w:jc w:val="center"/>
              <w:rPr>
                <w:rFonts w:ascii="Arial" w:hAnsi="Arial" w:cs="Arial"/>
                <w:b/>
                <w:i/>
              </w:rPr>
            </w:pPr>
            <w:r w:rsidRPr="004229B0">
              <w:rPr>
                <w:rFonts w:ascii="Arial" w:hAnsi="Arial" w:cs="Arial"/>
                <w:b/>
              </w:rPr>
              <w:t>Figure B.2.1-2: Channel Model Coordinate Axes in FR2 3D-MPAC system</w:t>
            </w:r>
          </w:p>
        </w:tc>
      </w:tr>
    </w:tbl>
    <w:p w14:paraId="12D486B3" w14:textId="77777777" w:rsidR="00F73617" w:rsidRDefault="00F73617" w:rsidP="00F73617"/>
    <w:p w14:paraId="245C5EE0" w14:textId="01F4BA66" w:rsidR="005E6102" w:rsidRDefault="005E6102" w:rsidP="00F73617">
      <w:r>
        <w:t>For the RRM system</w:t>
      </w:r>
      <w:r w:rsidR="00AF5EF4">
        <w:t>s</w:t>
      </w:r>
      <w:r w:rsidR="003433B5">
        <w:t xml:space="preserve"> supporting 2 AoA, Clause </w:t>
      </w:r>
      <w:r w:rsidR="003433B5" w:rsidRPr="003433B5">
        <w:t>7.1.3.2.4</w:t>
      </w:r>
      <w:r w:rsidR="003433B5">
        <w:t xml:space="preserve"> of </w:t>
      </w:r>
      <w:r w:rsidR="003433B5">
        <w:fldChar w:fldCharType="begin"/>
      </w:r>
      <w:r w:rsidR="003433B5">
        <w:instrText xml:space="preserve"> REF _Ref115106065 \r \h </w:instrText>
      </w:r>
      <w:r w:rsidR="003433B5">
        <w:fldChar w:fldCharType="separate"/>
      </w:r>
      <w:r w:rsidR="003433B5">
        <w:t>[5]</w:t>
      </w:r>
      <w:r w:rsidR="003433B5">
        <w:fldChar w:fldCharType="end"/>
      </w:r>
      <w:r w:rsidR="007B5F83">
        <w:t xml:space="preserve"> specifies that the </w:t>
      </w:r>
      <w:r w:rsidR="001E7B96">
        <w:t xml:space="preserve">QoQZ validation defined in Annex O of </w:t>
      </w:r>
      <w:r w:rsidR="003B3BAD">
        <w:fldChar w:fldCharType="begin"/>
      </w:r>
      <w:r w:rsidR="003B3BAD">
        <w:instrText xml:space="preserve"> REF _Ref115421350 \r \h </w:instrText>
      </w:r>
      <w:r w:rsidR="003B3BAD">
        <w:fldChar w:fldCharType="separate"/>
      </w:r>
      <w:r w:rsidR="003B3BAD">
        <w:t>[4]</w:t>
      </w:r>
      <w:r w:rsidR="003B3BAD">
        <w:fldChar w:fldCharType="end"/>
      </w:r>
      <w:r w:rsidR="003B3BAD">
        <w:t xml:space="preserve"> applies, e.g.,</w:t>
      </w:r>
    </w:p>
    <w:tbl>
      <w:tblPr>
        <w:tblStyle w:val="TableGrid"/>
        <w:tblW w:w="0" w:type="auto"/>
        <w:tblLook w:val="04A0" w:firstRow="1" w:lastRow="0" w:firstColumn="1" w:lastColumn="0" w:noHBand="0" w:noVBand="1"/>
      </w:tblPr>
      <w:tblGrid>
        <w:gridCol w:w="9631"/>
      </w:tblGrid>
      <w:tr w:rsidR="003B3BAD" w14:paraId="736E2A67" w14:textId="77777777" w:rsidTr="003B3BAD">
        <w:tc>
          <w:tcPr>
            <w:tcW w:w="9631" w:type="dxa"/>
          </w:tcPr>
          <w:p w14:paraId="42E11E96" w14:textId="77777777" w:rsidR="003B3BAD" w:rsidRDefault="003B3BAD" w:rsidP="003B3BAD">
            <w:pPr>
              <w:pStyle w:val="Default"/>
              <w:rPr>
                <w:sz w:val="22"/>
                <w:szCs w:val="22"/>
              </w:rPr>
            </w:pPr>
            <w:r>
              <w:rPr>
                <w:sz w:val="22"/>
                <w:szCs w:val="22"/>
              </w:rPr>
              <w:t xml:space="preserve">7.1.3.2.4 Quality of the quiet zone </w:t>
            </w:r>
          </w:p>
          <w:p w14:paraId="515F2893" w14:textId="77777777" w:rsidR="003B3BAD" w:rsidRDefault="003B3BAD" w:rsidP="003B3BAD">
            <w:pPr>
              <w:pStyle w:val="Default"/>
              <w:rPr>
                <w:sz w:val="20"/>
                <w:szCs w:val="20"/>
              </w:rPr>
            </w:pPr>
            <w:r>
              <w:rPr>
                <w:rFonts w:ascii="Times New Roman" w:hAnsi="Times New Roman" w:cs="Times New Roman"/>
                <w:sz w:val="20"/>
                <w:szCs w:val="20"/>
              </w:rPr>
              <w:t xml:space="preserve">For RRM, the quality of the quiet zone validation defined in Annex O of TS 38.521-2 [15] needs to assess only the single-directional EIRP and EIS metrics. For measurement setups with multiple probes, the QoQZ procedure needs to be performed with all probes present </w:t>
            </w:r>
            <w:proofErr w:type="gramStart"/>
            <w:r>
              <w:rPr>
                <w:rFonts w:ascii="Times New Roman" w:hAnsi="Times New Roman" w:cs="Times New Roman"/>
                <w:sz w:val="20"/>
                <w:szCs w:val="20"/>
              </w:rPr>
              <w:t>and in the conditions</w:t>
            </w:r>
            <w:proofErr w:type="gramEnd"/>
            <w:r>
              <w:rPr>
                <w:rFonts w:ascii="Times New Roman" w:hAnsi="Times New Roman" w:cs="Times New Roman"/>
                <w:sz w:val="20"/>
                <w:szCs w:val="20"/>
              </w:rPr>
              <w:t xml:space="preserve"> used for RRM testing. </w:t>
            </w:r>
          </w:p>
          <w:p w14:paraId="4AA45F33" w14:textId="77777777" w:rsidR="003B3BAD" w:rsidRDefault="003B3BAD" w:rsidP="003B3BAD">
            <w:pPr>
              <w:pStyle w:val="Default"/>
              <w:rPr>
                <w:sz w:val="20"/>
                <w:szCs w:val="20"/>
              </w:rPr>
            </w:pPr>
            <w:r>
              <w:rPr>
                <w:rFonts w:ascii="Times New Roman" w:hAnsi="Times New Roman" w:cs="Times New Roman"/>
                <w:sz w:val="20"/>
                <w:szCs w:val="20"/>
              </w:rPr>
              <w:t xml:space="preserve">The quality of the quiet zone for the RRM measurement setup based on DFF is described in B.2.2.3. The QoQZ validation needs to be performed only with the reference probe P0. </w:t>
            </w:r>
          </w:p>
          <w:p w14:paraId="1EE51287" w14:textId="77777777" w:rsidR="003B3BAD" w:rsidRDefault="003B3BAD" w:rsidP="003B3BAD">
            <w:pPr>
              <w:pStyle w:val="Default"/>
              <w:rPr>
                <w:rFonts w:ascii="Times New Roman" w:hAnsi="Times New Roman" w:cs="Times New Roman"/>
                <w:sz w:val="20"/>
                <w:szCs w:val="20"/>
              </w:rPr>
            </w:pPr>
            <w:r>
              <w:rPr>
                <w:rFonts w:ascii="Times New Roman" w:hAnsi="Times New Roman" w:cs="Times New Roman"/>
                <w:sz w:val="20"/>
                <w:szCs w:val="20"/>
              </w:rPr>
              <w:t xml:space="preserve">The quality of the quiet zone for the RRM measurement setup based on simplified DFF is described in B.2.3.3. </w:t>
            </w:r>
          </w:p>
          <w:p w14:paraId="55048734" w14:textId="77777777" w:rsidR="003B3BAD" w:rsidRDefault="003B3BAD" w:rsidP="003B3BAD">
            <w:pPr>
              <w:pStyle w:val="Default"/>
              <w:rPr>
                <w:rFonts w:ascii="Times New Roman" w:hAnsi="Times New Roman" w:cs="Times New Roman"/>
                <w:sz w:val="20"/>
                <w:szCs w:val="20"/>
              </w:rPr>
            </w:pPr>
            <w:r>
              <w:rPr>
                <w:rFonts w:ascii="Times New Roman" w:hAnsi="Times New Roman" w:cs="Times New Roman"/>
                <w:sz w:val="20"/>
                <w:szCs w:val="20"/>
              </w:rPr>
              <w:t xml:space="preserve">The quality of the quiet zone for the RRM measurement setup based on IFF is described in B.2.4.3. </w:t>
            </w:r>
          </w:p>
          <w:p w14:paraId="29C3BEA4" w14:textId="77777777" w:rsidR="003B3BAD" w:rsidRDefault="003B3BAD" w:rsidP="003B3BAD">
            <w:pPr>
              <w:pStyle w:val="Default"/>
              <w:rPr>
                <w:sz w:val="20"/>
                <w:szCs w:val="20"/>
              </w:rPr>
            </w:pPr>
            <w:r>
              <w:rPr>
                <w:rFonts w:ascii="Times New Roman" w:hAnsi="Times New Roman" w:cs="Times New Roman"/>
                <w:sz w:val="20"/>
                <w:szCs w:val="20"/>
              </w:rPr>
              <w:t xml:space="preserve">The quality of the quiet zone for the RRM measurement setup based on enhanced IFF is described in B.2.6.3. The QoQZ validation needs to be performed only with the reference reflector, P0, if same sized IFF reflectors are </w:t>
            </w:r>
            <w:proofErr w:type="gramStart"/>
            <w:r>
              <w:rPr>
                <w:rFonts w:ascii="Times New Roman" w:hAnsi="Times New Roman" w:cs="Times New Roman"/>
                <w:sz w:val="20"/>
                <w:szCs w:val="20"/>
              </w:rPr>
              <w:t>used..</w:t>
            </w:r>
            <w:proofErr w:type="gramEnd"/>
            <w:r>
              <w:rPr>
                <w:rFonts w:ascii="Times New Roman" w:hAnsi="Times New Roman" w:cs="Times New Roman"/>
                <w:sz w:val="20"/>
                <w:szCs w:val="20"/>
              </w:rPr>
              <w:t xml:space="preserve"> </w:t>
            </w:r>
          </w:p>
          <w:p w14:paraId="0ED3EE6B" w14:textId="557570DE" w:rsidR="003B3BAD" w:rsidRDefault="003B3BAD" w:rsidP="003B3BAD">
            <w:r>
              <w:t>The quality of the quiet zone for the RRM measurement setup based on IFF+DFF is described in B.2.7.3. The QoQZ validation needs to be performed only with the one probe among all DFF probes and one probe among all IFF probes.</w:t>
            </w:r>
          </w:p>
        </w:tc>
      </w:tr>
    </w:tbl>
    <w:p w14:paraId="2AA773D8" w14:textId="144E395C" w:rsidR="003B3BAD" w:rsidRDefault="00535E24" w:rsidP="00F73617">
      <w:r>
        <w:t xml:space="preserve">In </w:t>
      </w:r>
      <w:r>
        <w:fldChar w:fldCharType="begin"/>
      </w:r>
      <w:r>
        <w:instrText xml:space="preserve"> REF _Ref115427708 \r \h </w:instrText>
      </w:r>
      <w:r>
        <w:fldChar w:fldCharType="separate"/>
      </w:r>
      <w:r>
        <w:t>[7]</w:t>
      </w:r>
      <w:r>
        <w:fldChar w:fldCharType="end"/>
      </w:r>
      <w:r w:rsidR="00F6154D">
        <w:t xml:space="preserve">, it is furthermore specified that the </w:t>
      </w:r>
      <w:r w:rsidR="00AF5EF4">
        <w:t>multi-probe</w:t>
      </w:r>
      <w:r w:rsidR="000A056B">
        <w:t xml:space="preserve"> system for FR2 MIMO OTA </w:t>
      </w:r>
      <w:r w:rsidR="000B52FA">
        <w:t>utilizes the</w:t>
      </w:r>
      <w:r w:rsidR="002317E5">
        <w:t xml:space="preserve"> QoQZ validation defined in Annex O of </w:t>
      </w:r>
      <w:r w:rsidR="002317E5">
        <w:fldChar w:fldCharType="begin"/>
      </w:r>
      <w:r w:rsidR="002317E5">
        <w:instrText xml:space="preserve"> REF _Ref115421350 \r \h </w:instrText>
      </w:r>
      <w:r w:rsidR="002317E5">
        <w:fldChar w:fldCharType="separate"/>
      </w:r>
      <w:r w:rsidR="002317E5">
        <w:t>[4]</w:t>
      </w:r>
      <w:r w:rsidR="002317E5">
        <w:fldChar w:fldCharType="end"/>
      </w:r>
      <w:r w:rsidR="002317E5">
        <w:t xml:space="preserve"> </w:t>
      </w:r>
    </w:p>
    <w:tbl>
      <w:tblPr>
        <w:tblStyle w:val="TableGrid"/>
        <w:tblW w:w="0" w:type="auto"/>
        <w:tblLook w:val="04A0" w:firstRow="1" w:lastRow="0" w:firstColumn="1" w:lastColumn="0" w:noHBand="0" w:noVBand="1"/>
      </w:tblPr>
      <w:tblGrid>
        <w:gridCol w:w="9631"/>
      </w:tblGrid>
      <w:tr w:rsidR="000A056B" w14:paraId="743FF102" w14:textId="77777777" w:rsidTr="000A056B">
        <w:tc>
          <w:tcPr>
            <w:tcW w:w="9631" w:type="dxa"/>
          </w:tcPr>
          <w:p w14:paraId="1652742F" w14:textId="31885B8E" w:rsidR="000A056B" w:rsidRDefault="000A056B" w:rsidP="00F73617">
            <w:r>
              <w:lastRenderedPageBreak/>
              <w:t>The quality of quiet zone test procedure, equipment, and test frequencies are defined in Annex O.2 of TS 38.521-2 [9]. For NR FR2 MIMO OTA, only the single-directional EIRP and EIS metrics need to be assessed and the procedure needs to be performed using just a single 3D MPAC probe.</w:t>
            </w:r>
          </w:p>
        </w:tc>
      </w:tr>
    </w:tbl>
    <w:p w14:paraId="608B5F4F" w14:textId="77777777" w:rsidR="000B52FA" w:rsidRDefault="000B52FA" w:rsidP="00F73617"/>
    <w:p w14:paraId="5AC67C70" w14:textId="7BFC40D3" w:rsidR="00C25618" w:rsidRPr="004229B0" w:rsidRDefault="004D1BE0" w:rsidP="00F73617">
      <w:r>
        <w:t>Therefore</w:t>
      </w:r>
      <w:r w:rsidR="00C25618">
        <w:t xml:space="preserve">, the multi-probe/multi-AoA </w:t>
      </w:r>
      <w:r w:rsidR="00D1140A">
        <w:t xml:space="preserve">OTA test </w:t>
      </w:r>
      <w:r w:rsidR="00C25618">
        <w:t xml:space="preserve">systems defined in 3GPP for FR2 testing reference the QoQZ validation procedure </w:t>
      </w:r>
      <w:r w:rsidR="005B14C0">
        <w:t xml:space="preserve">defined in Annex O of </w:t>
      </w:r>
      <w:r w:rsidR="005B14C0">
        <w:fldChar w:fldCharType="begin"/>
      </w:r>
      <w:r w:rsidR="005B14C0">
        <w:instrText xml:space="preserve"> REF _Ref115421350 \r \h </w:instrText>
      </w:r>
      <w:r w:rsidR="005B14C0">
        <w:fldChar w:fldCharType="separate"/>
      </w:r>
      <w:r w:rsidR="005B14C0">
        <w:t>[4]</w:t>
      </w:r>
      <w:r w:rsidR="005B14C0">
        <w:fldChar w:fldCharType="end"/>
      </w:r>
      <w:r w:rsidR="005B14C0">
        <w:t>.</w:t>
      </w:r>
    </w:p>
    <w:p w14:paraId="137CC8E2" w14:textId="4BADE539" w:rsidR="00EC7BFD" w:rsidRPr="00EC7BFD" w:rsidRDefault="005B14C0" w:rsidP="005B14C0">
      <w:pPr>
        <w:pStyle w:val="Caption"/>
      </w:pPr>
      <w:bookmarkStart w:id="9" w:name="_Ref115429972"/>
      <w:r>
        <w:t xml:space="preserve">Observation </w:t>
      </w:r>
      <w:r>
        <w:fldChar w:fldCharType="begin"/>
      </w:r>
      <w:r>
        <w:instrText xml:space="preserve"> SEQ Observation \* ARABIC </w:instrText>
      </w:r>
      <w:r>
        <w:fldChar w:fldCharType="separate"/>
      </w:r>
      <w:r>
        <w:rPr>
          <w:noProof/>
        </w:rPr>
        <w:t>3</w:t>
      </w:r>
      <w:r>
        <w:fldChar w:fldCharType="end"/>
      </w:r>
      <w:r>
        <w:t>: The FR2 QoQZ validation procedure</w:t>
      </w:r>
      <w:r w:rsidR="00E06BA5">
        <w:t xml:space="preserve"> defined in Annex O of </w:t>
      </w:r>
      <w:r w:rsidR="00E06BA5">
        <w:fldChar w:fldCharType="begin"/>
      </w:r>
      <w:r w:rsidR="00E06BA5">
        <w:instrText xml:space="preserve"> REF _Ref115421350 \r \h </w:instrText>
      </w:r>
      <w:r w:rsidR="00E06BA5">
        <w:fldChar w:fldCharType="separate"/>
      </w:r>
      <w:r w:rsidR="00E06BA5">
        <w:t>[4]</w:t>
      </w:r>
      <w:r w:rsidR="00E06BA5">
        <w:fldChar w:fldCharType="end"/>
      </w:r>
      <w:r w:rsidR="00E06BA5">
        <w:t xml:space="preserve"> currently applies to all singe-probe </w:t>
      </w:r>
      <w:r w:rsidR="00833563">
        <w:t xml:space="preserve">and multi-probe </w:t>
      </w:r>
      <w:r w:rsidR="00E06BA5">
        <w:t>FR2</w:t>
      </w:r>
      <w:r w:rsidR="00833563">
        <w:t xml:space="preserve"> UE RF and RRM test systems.</w:t>
      </w:r>
      <w:bookmarkEnd w:id="9"/>
    </w:p>
    <w:bookmarkEnd w:id="2"/>
    <w:bookmarkEnd w:id="4"/>
    <w:p w14:paraId="701A1CDC" w14:textId="77777777" w:rsidR="00F6267E" w:rsidRDefault="00F6267E" w:rsidP="00F6267E">
      <w:pPr>
        <w:pStyle w:val="Heading1"/>
        <w:numPr>
          <w:ilvl w:val="0"/>
          <w:numId w:val="42"/>
        </w:numPr>
        <w:ind w:left="360"/>
      </w:pPr>
      <w:r>
        <w:t>Conclusion</w:t>
      </w:r>
    </w:p>
    <w:p w14:paraId="41FA10DA" w14:textId="34D211C5" w:rsidR="00734F28" w:rsidRDefault="00F6267E" w:rsidP="00F6267E">
      <w:r>
        <w:t xml:space="preserve">The </w:t>
      </w:r>
      <w:r w:rsidR="00734F28">
        <w:t xml:space="preserve">following observations and conclusions were made in this contribution. </w:t>
      </w:r>
    </w:p>
    <w:p w14:paraId="4E07F884" w14:textId="43C18686" w:rsidR="004D1BE0" w:rsidRPr="004D1BE0" w:rsidRDefault="004D1BE0" w:rsidP="00F6267E">
      <w:pPr>
        <w:rPr>
          <w:b/>
          <w:bCs/>
        </w:rPr>
      </w:pPr>
      <w:r w:rsidRPr="004D1BE0">
        <w:rPr>
          <w:b/>
          <w:bCs/>
        </w:rPr>
        <w:fldChar w:fldCharType="begin"/>
      </w:r>
      <w:r w:rsidRPr="004D1BE0">
        <w:rPr>
          <w:b/>
          <w:bCs/>
        </w:rPr>
        <w:instrText xml:space="preserve"> REF _Ref115429970 \h </w:instrText>
      </w:r>
      <w:r w:rsidRPr="004D1BE0">
        <w:rPr>
          <w:b/>
          <w:bCs/>
        </w:rPr>
      </w:r>
      <w:r>
        <w:rPr>
          <w:b/>
          <w:bCs/>
        </w:rPr>
        <w:instrText xml:space="preserve"> \* MERGEFORMAT </w:instrText>
      </w:r>
      <w:r w:rsidRPr="004D1BE0">
        <w:rPr>
          <w:b/>
          <w:bCs/>
        </w:rPr>
        <w:fldChar w:fldCharType="separate"/>
      </w:r>
      <w:r w:rsidRPr="004D1BE0">
        <w:rPr>
          <w:b/>
          <w:bCs/>
        </w:rPr>
        <w:t xml:space="preserve">Observation </w:t>
      </w:r>
      <w:r w:rsidRPr="004D1BE0">
        <w:rPr>
          <w:b/>
          <w:bCs/>
          <w:noProof/>
        </w:rPr>
        <w:t>1</w:t>
      </w:r>
      <w:r w:rsidRPr="004D1BE0">
        <w:rPr>
          <w:b/>
          <w:bCs/>
        </w:rPr>
        <w:t>: The current FR2 QoQZ validation procedure takes the positioner blocking effects into account.</w:t>
      </w:r>
      <w:r w:rsidRPr="004D1BE0">
        <w:rPr>
          <w:b/>
          <w:bCs/>
        </w:rPr>
        <w:fldChar w:fldCharType="end"/>
      </w:r>
    </w:p>
    <w:p w14:paraId="225A9A20" w14:textId="7252AA01" w:rsidR="004D1BE0" w:rsidRPr="004D1BE0" w:rsidRDefault="004D1BE0" w:rsidP="00F6267E">
      <w:pPr>
        <w:rPr>
          <w:b/>
          <w:bCs/>
        </w:rPr>
      </w:pPr>
      <w:r w:rsidRPr="004D1BE0">
        <w:rPr>
          <w:b/>
          <w:bCs/>
        </w:rPr>
        <w:fldChar w:fldCharType="begin"/>
      </w:r>
      <w:r w:rsidRPr="004D1BE0">
        <w:rPr>
          <w:b/>
          <w:bCs/>
        </w:rPr>
        <w:instrText xml:space="preserve"> REF _Ref115429971 \h </w:instrText>
      </w:r>
      <w:r w:rsidRPr="004D1BE0">
        <w:rPr>
          <w:b/>
          <w:bCs/>
        </w:rPr>
      </w:r>
      <w:r>
        <w:rPr>
          <w:b/>
          <w:bCs/>
        </w:rPr>
        <w:instrText xml:space="preserve"> \* MERGEFORMAT </w:instrText>
      </w:r>
      <w:r w:rsidRPr="004D1BE0">
        <w:rPr>
          <w:b/>
          <w:bCs/>
        </w:rPr>
        <w:fldChar w:fldCharType="separate"/>
      </w:r>
      <w:r w:rsidRPr="004D1BE0">
        <w:rPr>
          <w:b/>
          <w:bCs/>
        </w:rPr>
        <w:t xml:space="preserve">Observation </w:t>
      </w:r>
      <w:r w:rsidRPr="004D1BE0">
        <w:rPr>
          <w:b/>
          <w:bCs/>
          <w:noProof/>
        </w:rPr>
        <w:t>2</w:t>
      </w:r>
      <w:r w:rsidRPr="004D1BE0">
        <w:rPr>
          <w:b/>
          <w:bCs/>
        </w:rPr>
        <w:t>: The positioner blocking effect can be avoided if the DUT measurements and QoQZ validation procedures take the re-positioning concept into account.</w:t>
      </w:r>
      <w:r w:rsidRPr="004D1BE0">
        <w:rPr>
          <w:b/>
          <w:bCs/>
        </w:rPr>
        <w:fldChar w:fldCharType="end"/>
      </w:r>
    </w:p>
    <w:p w14:paraId="0FCC671C" w14:textId="6850D4B5" w:rsidR="004D1BE0" w:rsidRPr="004D1BE0" w:rsidRDefault="004D1BE0" w:rsidP="00F6267E">
      <w:pPr>
        <w:rPr>
          <w:b/>
          <w:bCs/>
        </w:rPr>
      </w:pPr>
      <w:r w:rsidRPr="004D1BE0">
        <w:rPr>
          <w:b/>
          <w:bCs/>
        </w:rPr>
        <w:fldChar w:fldCharType="begin"/>
      </w:r>
      <w:r w:rsidRPr="004D1BE0">
        <w:rPr>
          <w:b/>
          <w:bCs/>
        </w:rPr>
        <w:instrText xml:space="preserve"> REF _Ref115429972 \h </w:instrText>
      </w:r>
      <w:r w:rsidRPr="004D1BE0">
        <w:rPr>
          <w:b/>
          <w:bCs/>
        </w:rPr>
      </w:r>
      <w:r>
        <w:rPr>
          <w:b/>
          <w:bCs/>
        </w:rPr>
        <w:instrText xml:space="preserve"> \* MERGEFORMAT </w:instrText>
      </w:r>
      <w:r w:rsidRPr="004D1BE0">
        <w:rPr>
          <w:b/>
          <w:bCs/>
        </w:rPr>
        <w:fldChar w:fldCharType="separate"/>
      </w:r>
      <w:r w:rsidRPr="004D1BE0">
        <w:rPr>
          <w:b/>
          <w:bCs/>
        </w:rPr>
        <w:t xml:space="preserve">Observation </w:t>
      </w:r>
      <w:r w:rsidRPr="004D1BE0">
        <w:rPr>
          <w:b/>
          <w:bCs/>
          <w:noProof/>
        </w:rPr>
        <w:t>3</w:t>
      </w:r>
      <w:r w:rsidRPr="004D1BE0">
        <w:rPr>
          <w:b/>
          <w:bCs/>
        </w:rPr>
        <w:t>: The FR2 QoQZ validation procedure defined in Annex O of [4] currently applies to all singe-probe and multi-probe FR2 UE RF and RRM test systems.</w:t>
      </w:r>
      <w:r w:rsidRPr="004D1BE0">
        <w:rPr>
          <w:b/>
          <w:bCs/>
        </w:rPr>
        <w:fldChar w:fldCharType="end"/>
      </w:r>
    </w:p>
    <w:p w14:paraId="0DF4519A" w14:textId="7FFD16C4" w:rsidR="004D1BE0" w:rsidRPr="004D1BE0" w:rsidRDefault="004D1BE0" w:rsidP="00F6267E">
      <w:pPr>
        <w:rPr>
          <w:b/>
          <w:bCs/>
        </w:rPr>
      </w:pPr>
      <w:r w:rsidRPr="004D1BE0">
        <w:rPr>
          <w:b/>
          <w:bCs/>
        </w:rPr>
        <w:fldChar w:fldCharType="begin"/>
      </w:r>
      <w:r w:rsidRPr="004D1BE0">
        <w:rPr>
          <w:b/>
          <w:bCs/>
        </w:rPr>
        <w:instrText xml:space="preserve"> REF _Ref115429973 \h </w:instrText>
      </w:r>
      <w:r w:rsidRPr="004D1BE0">
        <w:rPr>
          <w:b/>
          <w:bCs/>
        </w:rPr>
      </w:r>
      <w:r>
        <w:rPr>
          <w:b/>
          <w:bCs/>
        </w:rPr>
        <w:instrText xml:space="preserve"> \* MERGEFORMAT </w:instrText>
      </w:r>
      <w:r w:rsidRPr="004D1BE0">
        <w:rPr>
          <w:b/>
          <w:bCs/>
        </w:rPr>
        <w:fldChar w:fldCharType="separate"/>
      </w:r>
      <w:r w:rsidRPr="004D1BE0">
        <w:rPr>
          <w:b/>
          <w:bCs/>
        </w:rPr>
        <w:t xml:space="preserve">Proposal </w:t>
      </w:r>
      <w:r w:rsidRPr="004D1BE0">
        <w:rPr>
          <w:b/>
          <w:bCs/>
          <w:noProof/>
        </w:rPr>
        <w:t>1</w:t>
      </w:r>
      <w:r w:rsidRPr="004D1BE0">
        <w:rPr>
          <w:b/>
          <w:bCs/>
        </w:rPr>
        <w:t>: Defer the effect of positioner blocking on QoQZ MU until the test system for multi-chain operation has been defined.</w:t>
      </w:r>
      <w:r w:rsidRPr="004D1BE0">
        <w:rPr>
          <w:b/>
          <w:bCs/>
        </w:rPr>
        <w:fldChar w:fldCharType="end"/>
      </w:r>
    </w:p>
    <w:p w14:paraId="5CCB1538" w14:textId="77777777" w:rsidR="00CB54AD" w:rsidRDefault="00CB54AD" w:rsidP="00CB54AD">
      <w:pPr>
        <w:pStyle w:val="Heading1"/>
        <w:numPr>
          <w:ilvl w:val="0"/>
          <w:numId w:val="42"/>
        </w:numPr>
        <w:ind w:left="360"/>
      </w:pPr>
      <w:r>
        <w:t>References</w:t>
      </w:r>
    </w:p>
    <w:p w14:paraId="57E68977" w14:textId="0EBB280D" w:rsidR="003404F4" w:rsidRDefault="00DB6C3D" w:rsidP="002317E5">
      <w:pPr>
        <w:numPr>
          <w:ilvl w:val="0"/>
          <w:numId w:val="5"/>
        </w:numPr>
        <w:tabs>
          <w:tab w:val="left" w:pos="426"/>
        </w:tabs>
        <w:overflowPunct w:val="0"/>
        <w:autoSpaceDE w:val="0"/>
        <w:autoSpaceDN w:val="0"/>
        <w:adjustRightInd w:val="0"/>
        <w:contextualSpacing/>
        <w:textAlignment w:val="baseline"/>
      </w:pPr>
      <w:r w:rsidRPr="00DB6C3D">
        <w:t>R4-2214323</w:t>
      </w:r>
      <w:r>
        <w:t xml:space="preserve">, </w:t>
      </w:r>
      <w:r w:rsidR="00552179" w:rsidRPr="00552179">
        <w:t>Email discussion summary for [104-e][334] FS_NR_FR2_OTA_enh</w:t>
      </w:r>
      <w:r w:rsidR="00552179">
        <w:t xml:space="preserve">, </w:t>
      </w:r>
      <w:r w:rsidR="00241944" w:rsidRPr="00241944">
        <w:t>Qualcomm Incorporated</w:t>
      </w:r>
      <w:r w:rsidR="00241944">
        <w:t xml:space="preserve">, </w:t>
      </w:r>
      <w:r w:rsidR="000F71E0" w:rsidRPr="000F71E0">
        <w:t>3GPP TSG-RAN WG4 Meeting # 104-e</w:t>
      </w:r>
      <w:r w:rsidR="000F71E0">
        <w:t xml:space="preserve">, </w:t>
      </w:r>
      <w:r w:rsidR="00E60DF1">
        <w:t>August 2022</w:t>
      </w:r>
    </w:p>
    <w:p w14:paraId="346ACAD6" w14:textId="19B5EDA8" w:rsidR="00E60DF1" w:rsidRDefault="005C05F0" w:rsidP="002317E5">
      <w:pPr>
        <w:numPr>
          <w:ilvl w:val="0"/>
          <w:numId w:val="5"/>
        </w:numPr>
        <w:tabs>
          <w:tab w:val="left" w:pos="426"/>
        </w:tabs>
        <w:overflowPunct w:val="0"/>
        <w:autoSpaceDE w:val="0"/>
        <w:autoSpaceDN w:val="0"/>
        <w:adjustRightInd w:val="0"/>
        <w:contextualSpacing/>
        <w:textAlignment w:val="baseline"/>
      </w:pPr>
      <w:bookmarkStart w:id="10" w:name="_Ref115420360"/>
      <w:r w:rsidRPr="005C05F0">
        <w:t>R4-2214357</w:t>
      </w:r>
      <w:r>
        <w:t xml:space="preserve">, </w:t>
      </w:r>
      <w:r w:rsidR="00C7110A" w:rsidRPr="00C7110A">
        <w:t>WF on NR FR2 OTA testing enhancements</w:t>
      </w:r>
      <w:r w:rsidR="005A46C9">
        <w:t xml:space="preserve">, </w:t>
      </w:r>
      <w:r w:rsidR="005A46C9" w:rsidRPr="005A46C9">
        <w:t>Qualcomm Incorporated</w:t>
      </w:r>
      <w:r w:rsidR="005A46C9">
        <w:t xml:space="preserve">, </w:t>
      </w:r>
      <w:r w:rsidR="00B56185" w:rsidRPr="000F71E0">
        <w:t>3GPP TSG-RAN WG4 Meeting # 104-e</w:t>
      </w:r>
      <w:r w:rsidR="00B56185">
        <w:t>, August 2022</w:t>
      </w:r>
      <w:bookmarkEnd w:id="10"/>
    </w:p>
    <w:p w14:paraId="3EE92628" w14:textId="1A3AC4C7" w:rsidR="00F128F9" w:rsidRDefault="001248E7" w:rsidP="002317E5">
      <w:pPr>
        <w:numPr>
          <w:ilvl w:val="0"/>
          <w:numId w:val="5"/>
        </w:numPr>
        <w:tabs>
          <w:tab w:val="left" w:pos="426"/>
        </w:tabs>
        <w:overflowPunct w:val="0"/>
        <w:autoSpaceDE w:val="0"/>
        <w:autoSpaceDN w:val="0"/>
        <w:adjustRightInd w:val="0"/>
        <w:contextualSpacing/>
        <w:textAlignment w:val="baseline"/>
      </w:pPr>
      <w:bookmarkStart w:id="11" w:name="_Ref115421185"/>
      <w:r w:rsidRPr="001248E7">
        <w:t>R4-2215540</w:t>
      </w:r>
      <w:r>
        <w:t xml:space="preserve">, </w:t>
      </w:r>
      <w:r w:rsidR="00F128F9" w:rsidRPr="00F128F9">
        <w:t>Testing Considerations for Multi AoA UE RF Spherical Coverage Test Case and FR2 Demodulation</w:t>
      </w:r>
      <w:r w:rsidR="005811C0">
        <w:t xml:space="preserve">, Keysight Technologies, </w:t>
      </w:r>
      <w:r w:rsidR="005811C0" w:rsidRPr="005811C0">
        <w:t>3GPP TSG-RAN4 Meeting #104-bis-e</w:t>
      </w:r>
      <w:r w:rsidR="005811C0">
        <w:t>, October 2022</w:t>
      </w:r>
      <w:bookmarkEnd w:id="11"/>
    </w:p>
    <w:p w14:paraId="2CA07D75" w14:textId="3A5C274E" w:rsidR="00B108A6" w:rsidRDefault="00B108A6" w:rsidP="002317E5">
      <w:pPr>
        <w:numPr>
          <w:ilvl w:val="0"/>
          <w:numId w:val="5"/>
        </w:numPr>
        <w:tabs>
          <w:tab w:val="left" w:pos="426"/>
        </w:tabs>
        <w:overflowPunct w:val="0"/>
        <w:autoSpaceDE w:val="0"/>
        <w:autoSpaceDN w:val="0"/>
        <w:adjustRightInd w:val="0"/>
        <w:contextualSpacing/>
        <w:textAlignment w:val="baseline"/>
      </w:pPr>
      <w:bookmarkStart w:id="12" w:name="_Ref115421350"/>
      <w:r w:rsidRPr="00B108A6">
        <w:t>TS 38.521-2, User Equipment (UE) conformance specification; Radio transmission and reception; Part 2: Range 2 Standalone</w:t>
      </w:r>
      <w:bookmarkEnd w:id="12"/>
    </w:p>
    <w:p w14:paraId="3DAD5F8A" w14:textId="77777777" w:rsidR="002D2F8E" w:rsidRPr="004229B0" w:rsidRDefault="002D2F8E" w:rsidP="002317E5">
      <w:pPr>
        <w:pStyle w:val="ListParagraph"/>
        <w:numPr>
          <w:ilvl w:val="0"/>
          <w:numId w:val="5"/>
        </w:numPr>
        <w:tabs>
          <w:tab w:val="left" w:pos="426"/>
        </w:tabs>
        <w:overflowPunct w:val="0"/>
        <w:autoSpaceDE w:val="0"/>
        <w:autoSpaceDN w:val="0"/>
        <w:adjustRightInd w:val="0"/>
        <w:spacing w:after="0"/>
        <w:textAlignment w:val="baseline"/>
      </w:pPr>
      <w:bookmarkStart w:id="13" w:name="_Ref115106065"/>
      <w:r w:rsidRPr="004229B0">
        <w:rPr>
          <w:rFonts w:eastAsia="Malgun Gothic"/>
          <w:szCs w:val="20"/>
          <w:lang w:val="en-GB"/>
        </w:rPr>
        <w:t>TS 38.508-1, User Equipment (UE) conformance specification; Part 1: Common test environment, V17.5.0 (2022-06)</w:t>
      </w:r>
      <w:bookmarkEnd w:id="13"/>
    </w:p>
    <w:p w14:paraId="3F37062D" w14:textId="77777777" w:rsidR="002D2F8E" w:rsidRDefault="002D2F8E" w:rsidP="002317E5">
      <w:pPr>
        <w:pStyle w:val="ListParagraph"/>
        <w:numPr>
          <w:ilvl w:val="0"/>
          <w:numId w:val="5"/>
        </w:numPr>
        <w:spacing w:after="160" w:line="259" w:lineRule="auto"/>
      </w:pPr>
      <w:bookmarkStart w:id="14" w:name="_Ref115106576"/>
      <w:bookmarkStart w:id="15" w:name="_Hlk67903878"/>
      <w:r w:rsidRPr="004229B0">
        <w:t>TS 38.151, Multiple Input Multiple Output (MIMO) Over-the-Air (OTA) performance requirements, V17.2.0 (2022-09)</w:t>
      </w:r>
      <w:bookmarkEnd w:id="14"/>
      <w:bookmarkEnd w:id="15"/>
    </w:p>
    <w:p w14:paraId="7C9BD128" w14:textId="77777777" w:rsidR="002317E5" w:rsidRPr="003E02DF" w:rsidRDefault="002317E5" w:rsidP="002317E5">
      <w:pPr>
        <w:pStyle w:val="ListParagraph"/>
        <w:numPr>
          <w:ilvl w:val="0"/>
          <w:numId w:val="5"/>
        </w:numPr>
        <w:spacing w:after="160" w:line="259" w:lineRule="auto"/>
      </w:pPr>
      <w:bookmarkStart w:id="16" w:name="_Ref115427708"/>
      <w:r w:rsidRPr="003E02DF">
        <w:t>TR 38.827, Study on radiated metrics and test methodology for the verification of multi-antenna reception performance of NR User Equipment (UE), V1</w:t>
      </w:r>
      <w:r>
        <w:t>7</w:t>
      </w:r>
      <w:r w:rsidRPr="003E02DF">
        <w:t>.</w:t>
      </w:r>
      <w:r>
        <w:t>8</w:t>
      </w:r>
      <w:r w:rsidRPr="003E02DF">
        <w:t>.0 (202</w:t>
      </w:r>
      <w:r>
        <w:t>2</w:t>
      </w:r>
      <w:r w:rsidRPr="003E02DF">
        <w:t>-0</w:t>
      </w:r>
      <w:r>
        <w:t>9</w:t>
      </w:r>
      <w:r w:rsidRPr="003E02DF">
        <w:t>)</w:t>
      </w:r>
      <w:bookmarkEnd w:id="16"/>
    </w:p>
    <w:p w14:paraId="18F132A6" w14:textId="77777777" w:rsidR="000A056B" w:rsidRPr="004229B0" w:rsidRDefault="000A056B" w:rsidP="002D2F8E">
      <w:pPr>
        <w:pStyle w:val="ListParagraph"/>
        <w:numPr>
          <w:ilvl w:val="0"/>
          <w:numId w:val="5"/>
        </w:numPr>
        <w:spacing w:after="160" w:line="259" w:lineRule="auto"/>
      </w:pPr>
    </w:p>
    <w:p w14:paraId="70BDD550" w14:textId="77777777" w:rsidR="002D2F8E" w:rsidRPr="00354167" w:rsidRDefault="002D2F8E" w:rsidP="00CB54AD">
      <w:pPr>
        <w:numPr>
          <w:ilvl w:val="0"/>
          <w:numId w:val="5"/>
        </w:numPr>
        <w:tabs>
          <w:tab w:val="left" w:pos="426"/>
        </w:tabs>
        <w:overflowPunct w:val="0"/>
        <w:autoSpaceDE w:val="0"/>
        <w:autoSpaceDN w:val="0"/>
        <w:adjustRightInd w:val="0"/>
        <w:textAlignment w:val="baseline"/>
      </w:pPr>
    </w:p>
    <w:sectPr w:rsidR="002D2F8E"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A161F" w14:textId="77777777" w:rsidR="001371E5" w:rsidRDefault="001371E5">
      <w:r>
        <w:separator/>
      </w:r>
    </w:p>
  </w:endnote>
  <w:endnote w:type="continuationSeparator" w:id="0">
    <w:p w14:paraId="55247849" w14:textId="77777777" w:rsidR="001371E5" w:rsidRDefault="001371E5">
      <w:r>
        <w:continuationSeparator/>
      </w:r>
    </w:p>
  </w:endnote>
  <w:endnote w:type="continuationNotice" w:id="1">
    <w:p w14:paraId="48657B8F" w14:textId="77777777" w:rsidR="001371E5" w:rsidRDefault="00137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D8BB4" w14:textId="77777777" w:rsidR="001371E5" w:rsidRDefault="001371E5">
      <w:r>
        <w:separator/>
      </w:r>
    </w:p>
  </w:footnote>
  <w:footnote w:type="continuationSeparator" w:id="0">
    <w:p w14:paraId="19E2095A" w14:textId="77777777" w:rsidR="001371E5" w:rsidRDefault="001371E5">
      <w:r>
        <w:continuationSeparator/>
      </w:r>
    </w:p>
  </w:footnote>
  <w:footnote w:type="continuationNotice" w:id="1">
    <w:p w14:paraId="4386CB9E" w14:textId="77777777" w:rsidR="001371E5" w:rsidRDefault="00137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3A0947"/>
    <w:multiLevelType w:val="hybridMultilevel"/>
    <w:tmpl w:val="A6FA4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5"/>
  </w:num>
  <w:num w:numId="8">
    <w:abstractNumId w:val="10"/>
  </w:num>
  <w:num w:numId="9">
    <w:abstractNumId w:val="23"/>
  </w:num>
  <w:num w:numId="10">
    <w:abstractNumId w:val="7"/>
  </w:num>
  <w:num w:numId="11">
    <w:abstractNumId w:val="30"/>
  </w:num>
  <w:num w:numId="12">
    <w:abstractNumId w:val="13"/>
  </w:num>
  <w:num w:numId="13">
    <w:abstractNumId w:val="29"/>
  </w:num>
  <w:num w:numId="14">
    <w:abstractNumId w:val="36"/>
  </w:num>
  <w:num w:numId="15">
    <w:abstractNumId w:val="12"/>
  </w:num>
  <w:num w:numId="16">
    <w:abstractNumId w:val="35"/>
  </w:num>
  <w:num w:numId="17">
    <w:abstractNumId w:val="9"/>
  </w:num>
  <w:num w:numId="18">
    <w:abstractNumId w:val="26"/>
  </w:num>
  <w:num w:numId="19">
    <w:abstractNumId w:val="21"/>
  </w:num>
  <w:num w:numId="20">
    <w:abstractNumId w:val="27"/>
  </w:num>
  <w:num w:numId="21">
    <w:abstractNumId w:val="34"/>
  </w:num>
  <w:num w:numId="22">
    <w:abstractNumId w:val="25"/>
  </w:num>
  <w:num w:numId="23">
    <w:abstractNumId w:val="22"/>
  </w:num>
  <w:num w:numId="24">
    <w:abstractNumId w:val="11"/>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9"/>
  </w:num>
  <w:num w:numId="32">
    <w:abstractNumId w:val="32"/>
  </w:num>
  <w:num w:numId="33">
    <w:abstractNumId w:val="38"/>
  </w:num>
  <w:num w:numId="34">
    <w:abstractNumId w:val="16"/>
  </w:num>
  <w:num w:numId="35">
    <w:abstractNumId w:val="8"/>
  </w:num>
  <w:num w:numId="36">
    <w:abstractNumId w:val="1"/>
  </w:num>
  <w:num w:numId="37">
    <w:abstractNumId w:val="31"/>
  </w:num>
  <w:num w:numId="38">
    <w:abstractNumId w:val="14"/>
  </w:num>
  <w:num w:numId="39">
    <w:abstractNumId w:val="4"/>
  </w:num>
  <w:num w:numId="40">
    <w:abstractNumId w:val="33"/>
  </w:num>
  <w:num w:numId="41">
    <w:abstractNumId w:val="20"/>
  </w:num>
  <w:num w:numId="42">
    <w:abstractNumId w:val="6"/>
  </w:num>
  <w:num w:numId="43">
    <w:abstractNumId w:val="28"/>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E7F"/>
    <w:rsid w:val="00032F36"/>
    <w:rsid w:val="00036AF0"/>
    <w:rsid w:val="000379D6"/>
    <w:rsid w:val="000418FC"/>
    <w:rsid w:val="000439E6"/>
    <w:rsid w:val="0004477C"/>
    <w:rsid w:val="0004678D"/>
    <w:rsid w:val="000522AA"/>
    <w:rsid w:val="00052390"/>
    <w:rsid w:val="000547AB"/>
    <w:rsid w:val="0005509D"/>
    <w:rsid w:val="00055873"/>
    <w:rsid w:val="00056560"/>
    <w:rsid w:val="0005725C"/>
    <w:rsid w:val="000606FD"/>
    <w:rsid w:val="00064500"/>
    <w:rsid w:val="000713C9"/>
    <w:rsid w:val="000735B9"/>
    <w:rsid w:val="00077333"/>
    <w:rsid w:val="00082566"/>
    <w:rsid w:val="000833ED"/>
    <w:rsid w:val="00083540"/>
    <w:rsid w:val="00084983"/>
    <w:rsid w:val="00084FC2"/>
    <w:rsid w:val="00087F53"/>
    <w:rsid w:val="00093E7E"/>
    <w:rsid w:val="00096EE4"/>
    <w:rsid w:val="000A056B"/>
    <w:rsid w:val="000A12C7"/>
    <w:rsid w:val="000A2A86"/>
    <w:rsid w:val="000A34EE"/>
    <w:rsid w:val="000A43B4"/>
    <w:rsid w:val="000B25D3"/>
    <w:rsid w:val="000B52FA"/>
    <w:rsid w:val="000C2440"/>
    <w:rsid w:val="000C3463"/>
    <w:rsid w:val="000C640F"/>
    <w:rsid w:val="000C6B4C"/>
    <w:rsid w:val="000D202B"/>
    <w:rsid w:val="000D39C6"/>
    <w:rsid w:val="000D6B69"/>
    <w:rsid w:val="000D6CFC"/>
    <w:rsid w:val="000E24A4"/>
    <w:rsid w:val="000F71E0"/>
    <w:rsid w:val="00102BA0"/>
    <w:rsid w:val="00110A88"/>
    <w:rsid w:val="00111719"/>
    <w:rsid w:val="00111826"/>
    <w:rsid w:val="00114DB9"/>
    <w:rsid w:val="001174D8"/>
    <w:rsid w:val="00121323"/>
    <w:rsid w:val="00122845"/>
    <w:rsid w:val="00124141"/>
    <w:rsid w:val="001248E7"/>
    <w:rsid w:val="001258E2"/>
    <w:rsid w:val="0013001E"/>
    <w:rsid w:val="00130A4D"/>
    <w:rsid w:val="001330A5"/>
    <w:rsid w:val="001371E5"/>
    <w:rsid w:val="001376C9"/>
    <w:rsid w:val="0014005E"/>
    <w:rsid w:val="00140084"/>
    <w:rsid w:val="0014206F"/>
    <w:rsid w:val="001423A1"/>
    <w:rsid w:val="001430FC"/>
    <w:rsid w:val="001458A3"/>
    <w:rsid w:val="00150099"/>
    <w:rsid w:val="00152172"/>
    <w:rsid w:val="00153528"/>
    <w:rsid w:val="00157AD8"/>
    <w:rsid w:val="00166A36"/>
    <w:rsid w:val="001741AE"/>
    <w:rsid w:val="001758FB"/>
    <w:rsid w:val="00190155"/>
    <w:rsid w:val="00191875"/>
    <w:rsid w:val="001931FF"/>
    <w:rsid w:val="001960AD"/>
    <w:rsid w:val="00196F9F"/>
    <w:rsid w:val="001A08AA"/>
    <w:rsid w:val="001A17A5"/>
    <w:rsid w:val="001A2BC5"/>
    <w:rsid w:val="001A2DC2"/>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4D1D"/>
    <w:rsid w:val="001C687E"/>
    <w:rsid w:val="001D0D8E"/>
    <w:rsid w:val="001D26A8"/>
    <w:rsid w:val="001D7D91"/>
    <w:rsid w:val="001D7F4A"/>
    <w:rsid w:val="001E1CF6"/>
    <w:rsid w:val="001E4636"/>
    <w:rsid w:val="001E6DC6"/>
    <w:rsid w:val="001E7B96"/>
    <w:rsid w:val="001F203F"/>
    <w:rsid w:val="001F5795"/>
    <w:rsid w:val="001F706B"/>
    <w:rsid w:val="0020057A"/>
    <w:rsid w:val="0020092C"/>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2486B"/>
    <w:rsid w:val="002317E5"/>
    <w:rsid w:val="00234D1C"/>
    <w:rsid w:val="00235394"/>
    <w:rsid w:val="00235813"/>
    <w:rsid w:val="00236683"/>
    <w:rsid w:val="0023752C"/>
    <w:rsid w:val="00241944"/>
    <w:rsid w:val="00241A14"/>
    <w:rsid w:val="00244EEE"/>
    <w:rsid w:val="0025114C"/>
    <w:rsid w:val="00251340"/>
    <w:rsid w:val="00252AEA"/>
    <w:rsid w:val="00254246"/>
    <w:rsid w:val="00255905"/>
    <w:rsid w:val="0026179F"/>
    <w:rsid w:val="00262600"/>
    <w:rsid w:val="00262A89"/>
    <w:rsid w:val="0026391C"/>
    <w:rsid w:val="00263931"/>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27B4"/>
    <w:rsid w:val="00293732"/>
    <w:rsid w:val="00293DC2"/>
    <w:rsid w:val="00296B9F"/>
    <w:rsid w:val="002A4112"/>
    <w:rsid w:val="002A7017"/>
    <w:rsid w:val="002A7F4B"/>
    <w:rsid w:val="002B01BA"/>
    <w:rsid w:val="002B11F7"/>
    <w:rsid w:val="002B3F06"/>
    <w:rsid w:val="002B4D62"/>
    <w:rsid w:val="002C1E1B"/>
    <w:rsid w:val="002C2040"/>
    <w:rsid w:val="002C7D13"/>
    <w:rsid w:val="002D0D61"/>
    <w:rsid w:val="002D2F8E"/>
    <w:rsid w:val="002D349E"/>
    <w:rsid w:val="002D44BD"/>
    <w:rsid w:val="002D69EF"/>
    <w:rsid w:val="002E465A"/>
    <w:rsid w:val="002E47F7"/>
    <w:rsid w:val="002E5F31"/>
    <w:rsid w:val="002F4093"/>
    <w:rsid w:val="002F447E"/>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33B5"/>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5065"/>
    <w:rsid w:val="003B1087"/>
    <w:rsid w:val="003B1AA0"/>
    <w:rsid w:val="003B3BAD"/>
    <w:rsid w:val="003B478A"/>
    <w:rsid w:val="003B5AB0"/>
    <w:rsid w:val="003B7F37"/>
    <w:rsid w:val="003C4291"/>
    <w:rsid w:val="003C47CE"/>
    <w:rsid w:val="003C5232"/>
    <w:rsid w:val="003D1D54"/>
    <w:rsid w:val="003D2C79"/>
    <w:rsid w:val="003D33D4"/>
    <w:rsid w:val="003D5D10"/>
    <w:rsid w:val="003D7CEB"/>
    <w:rsid w:val="003E300F"/>
    <w:rsid w:val="003E39F0"/>
    <w:rsid w:val="003E3F2D"/>
    <w:rsid w:val="003E567C"/>
    <w:rsid w:val="003E6A73"/>
    <w:rsid w:val="003F0282"/>
    <w:rsid w:val="003F1AEA"/>
    <w:rsid w:val="003F1D13"/>
    <w:rsid w:val="003F6395"/>
    <w:rsid w:val="003F6621"/>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576C"/>
    <w:rsid w:val="00456C09"/>
    <w:rsid w:val="0046119F"/>
    <w:rsid w:val="0046266D"/>
    <w:rsid w:val="004665F1"/>
    <w:rsid w:val="00466E59"/>
    <w:rsid w:val="004701D2"/>
    <w:rsid w:val="00470B08"/>
    <w:rsid w:val="00470E49"/>
    <w:rsid w:val="0047111D"/>
    <w:rsid w:val="00471B36"/>
    <w:rsid w:val="00473D9D"/>
    <w:rsid w:val="00474556"/>
    <w:rsid w:val="00474FBC"/>
    <w:rsid w:val="00476D28"/>
    <w:rsid w:val="00482CB3"/>
    <w:rsid w:val="004835B4"/>
    <w:rsid w:val="00484D33"/>
    <w:rsid w:val="00485FCA"/>
    <w:rsid w:val="00490F98"/>
    <w:rsid w:val="00490FAF"/>
    <w:rsid w:val="00491A80"/>
    <w:rsid w:val="00491FA6"/>
    <w:rsid w:val="00495A33"/>
    <w:rsid w:val="004A044F"/>
    <w:rsid w:val="004A07A1"/>
    <w:rsid w:val="004A17C7"/>
    <w:rsid w:val="004A419F"/>
    <w:rsid w:val="004A6B36"/>
    <w:rsid w:val="004A7D1A"/>
    <w:rsid w:val="004B27EC"/>
    <w:rsid w:val="004B5CA8"/>
    <w:rsid w:val="004C2A16"/>
    <w:rsid w:val="004D0FD5"/>
    <w:rsid w:val="004D1BE0"/>
    <w:rsid w:val="004D5AE5"/>
    <w:rsid w:val="004E2B50"/>
    <w:rsid w:val="004E6319"/>
    <w:rsid w:val="004F078F"/>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B25"/>
    <w:rsid w:val="00526FA7"/>
    <w:rsid w:val="0053435C"/>
    <w:rsid w:val="00535E24"/>
    <w:rsid w:val="00541EB9"/>
    <w:rsid w:val="00543311"/>
    <w:rsid w:val="00546367"/>
    <w:rsid w:val="005464FE"/>
    <w:rsid w:val="005471FE"/>
    <w:rsid w:val="00547986"/>
    <w:rsid w:val="00552179"/>
    <w:rsid w:val="00554A16"/>
    <w:rsid w:val="005550DD"/>
    <w:rsid w:val="00555741"/>
    <w:rsid w:val="00560326"/>
    <w:rsid w:val="005603F5"/>
    <w:rsid w:val="005649A1"/>
    <w:rsid w:val="00566838"/>
    <w:rsid w:val="00580542"/>
    <w:rsid w:val="00580587"/>
    <w:rsid w:val="005811C0"/>
    <w:rsid w:val="00581E88"/>
    <w:rsid w:val="00583627"/>
    <w:rsid w:val="0058392F"/>
    <w:rsid w:val="00585B23"/>
    <w:rsid w:val="005908D2"/>
    <w:rsid w:val="00592F28"/>
    <w:rsid w:val="00593B56"/>
    <w:rsid w:val="005943B2"/>
    <w:rsid w:val="00595618"/>
    <w:rsid w:val="005A0EDD"/>
    <w:rsid w:val="005A46C9"/>
    <w:rsid w:val="005A616F"/>
    <w:rsid w:val="005A6F48"/>
    <w:rsid w:val="005B14C0"/>
    <w:rsid w:val="005B7B7A"/>
    <w:rsid w:val="005C05F0"/>
    <w:rsid w:val="005C239F"/>
    <w:rsid w:val="005C331B"/>
    <w:rsid w:val="005C4593"/>
    <w:rsid w:val="005C578A"/>
    <w:rsid w:val="005D6DA8"/>
    <w:rsid w:val="005E12CD"/>
    <w:rsid w:val="005E2166"/>
    <w:rsid w:val="005E2985"/>
    <w:rsid w:val="005E3340"/>
    <w:rsid w:val="005E5D66"/>
    <w:rsid w:val="005E6102"/>
    <w:rsid w:val="005E70F2"/>
    <w:rsid w:val="005F3B1B"/>
    <w:rsid w:val="00607D98"/>
    <w:rsid w:val="0061059A"/>
    <w:rsid w:val="006126CA"/>
    <w:rsid w:val="006131BB"/>
    <w:rsid w:val="00613B1E"/>
    <w:rsid w:val="00614741"/>
    <w:rsid w:val="00614F11"/>
    <w:rsid w:val="00616FB0"/>
    <w:rsid w:val="00617CC1"/>
    <w:rsid w:val="006210C4"/>
    <w:rsid w:val="00622B32"/>
    <w:rsid w:val="00634928"/>
    <w:rsid w:val="00635671"/>
    <w:rsid w:val="00636ABD"/>
    <w:rsid w:val="00641457"/>
    <w:rsid w:val="00643519"/>
    <w:rsid w:val="00643DD8"/>
    <w:rsid w:val="00645857"/>
    <w:rsid w:val="006468DD"/>
    <w:rsid w:val="00651C2B"/>
    <w:rsid w:val="006537BF"/>
    <w:rsid w:val="00653DF0"/>
    <w:rsid w:val="006543EF"/>
    <w:rsid w:val="0065492A"/>
    <w:rsid w:val="00654D11"/>
    <w:rsid w:val="00656822"/>
    <w:rsid w:val="00656A7B"/>
    <w:rsid w:val="00665AD3"/>
    <w:rsid w:val="0066638F"/>
    <w:rsid w:val="00674922"/>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1487"/>
    <w:rsid w:val="006C2AF9"/>
    <w:rsid w:val="006C3A94"/>
    <w:rsid w:val="006C7E35"/>
    <w:rsid w:val="006D132D"/>
    <w:rsid w:val="006D6B1F"/>
    <w:rsid w:val="006E45D9"/>
    <w:rsid w:val="006E5B02"/>
    <w:rsid w:val="006F0D5F"/>
    <w:rsid w:val="006F1DCF"/>
    <w:rsid w:val="006F4830"/>
    <w:rsid w:val="006F4A1A"/>
    <w:rsid w:val="006F5431"/>
    <w:rsid w:val="006F5C22"/>
    <w:rsid w:val="00700488"/>
    <w:rsid w:val="00703F5D"/>
    <w:rsid w:val="0070517A"/>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0D43"/>
    <w:rsid w:val="00734F28"/>
    <w:rsid w:val="00735C81"/>
    <w:rsid w:val="00736A17"/>
    <w:rsid w:val="007373B0"/>
    <w:rsid w:val="007403F2"/>
    <w:rsid w:val="00740C81"/>
    <w:rsid w:val="00741775"/>
    <w:rsid w:val="00744CC1"/>
    <w:rsid w:val="0074650E"/>
    <w:rsid w:val="00747AD4"/>
    <w:rsid w:val="00752FA3"/>
    <w:rsid w:val="007566DD"/>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5F83"/>
    <w:rsid w:val="007B6E97"/>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56"/>
    <w:rsid w:val="007F7064"/>
    <w:rsid w:val="00803E82"/>
    <w:rsid w:val="00804709"/>
    <w:rsid w:val="00807F76"/>
    <w:rsid w:val="008142CC"/>
    <w:rsid w:val="008152DF"/>
    <w:rsid w:val="00816C9D"/>
    <w:rsid w:val="0082033D"/>
    <w:rsid w:val="0082128D"/>
    <w:rsid w:val="0082190B"/>
    <w:rsid w:val="00826B31"/>
    <w:rsid w:val="008278A2"/>
    <w:rsid w:val="00830BED"/>
    <w:rsid w:val="008332C8"/>
    <w:rsid w:val="00833563"/>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DE0"/>
    <w:rsid w:val="00884BE6"/>
    <w:rsid w:val="0088503C"/>
    <w:rsid w:val="00885D92"/>
    <w:rsid w:val="00892723"/>
    <w:rsid w:val="00893454"/>
    <w:rsid w:val="00895D05"/>
    <w:rsid w:val="00896533"/>
    <w:rsid w:val="00897A25"/>
    <w:rsid w:val="008A0A78"/>
    <w:rsid w:val="008A1A84"/>
    <w:rsid w:val="008A2D48"/>
    <w:rsid w:val="008A538F"/>
    <w:rsid w:val="008A6143"/>
    <w:rsid w:val="008B0529"/>
    <w:rsid w:val="008B1F24"/>
    <w:rsid w:val="008B5C74"/>
    <w:rsid w:val="008B626C"/>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265E2"/>
    <w:rsid w:val="00931702"/>
    <w:rsid w:val="00931918"/>
    <w:rsid w:val="00932F29"/>
    <w:rsid w:val="00937FBD"/>
    <w:rsid w:val="009439E5"/>
    <w:rsid w:val="00945858"/>
    <w:rsid w:val="009514EA"/>
    <w:rsid w:val="00951CC5"/>
    <w:rsid w:val="00952F41"/>
    <w:rsid w:val="0095378B"/>
    <w:rsid w:val="0095392E"/>
    <w:rsid w:val="00955574"/>
    <w:rsid w:val="009564E9"/>
    <w:rsid w:val="00957EF1"/>
    <w:rsid w:val="00960079"/>
    <w:rsid w:val="00964105"/>
    <w:rsid w:val="0096523A"/>
    <w:rsid w:val="00970A06"/>
    <w:rsid w:val="0097133C"/>
    <w:rsid w:val="00972528"/>
    <w:rsid w:val="00973CE9"/>
    <w:rsid w:val="009747AE"/>
    <w:rsid w:val="0097539D"/>
    <w:rsid w:val="009767AC"/>
    <w:rsid w:val="00980E79"/>
    <w:rsid w:val="00982B7E"/>
    <w:rsid w:val="00983910"/>
    <w:rsid w:val="00984E5F"/>
    <w:rsid w:val="009913F6"/>
    <w:rsid w:val="00991999"/>
    <w:rsid w:val="00992B5F"/>
    <w:rsid w:val="00997D88"/>
    <w:rsid w:val="009A63AD"/>
    <w:rsid w:val="009B440E"/>
    <w:rsid w:val="009B76CB"/>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754A"/>
    <w:rsid w:val="00A079A7"/>
    <w:rsid w:val="00A165D9"/>
    <w:rsid w:val="00A17573"/>
    <w:rsid w:val="00A210B9"/>
    <w:rsid w:val="00A21E15"/>
    <w:rsid w:val="00A22FB6"/>
    <w:rsid w:val="00A2310D"/>
    <w:rsid w:val="00A25AEB"/>
    <w:rsid w:val="00A277B2"/>
    <w:rsid w:val="00A313BC"/>
    <w:rsid w:val="00A320FB"/>
    <w:rsid w:val="00A33606"/>
    <w:rsid w:val="00A3540D"/>
    <w:rsid w:val="00A37EE3"/>
    <w:rsid w:val="00A4273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25D"/>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AF5EF4"/>
    <w:rsid w:val="00B0589A"/>
    <w:rsid w:val="00B108A6"/>
    <w:rsid w:val="00B11065"/>
    <w:rsid w:val="00B14BC8"/>
    <w:rsid w:val="00B20C57"/>
    <w:rsid w:val="00B21D87"/>
    <w:rsid w:val="00B22ADA"/>
    <w:rsid w:val="00B22B87"/>
    <w:rsid w:val="00B24E76"/>
    <w:rsid w:val="00B319D7"/>
    <w:rsid w:val="00B324FE"/>
    <w:rsid w:val="00B334B9"/>
    <w:rsid w:val="00B36208"/>
    <w:rsid w:val="00B3769C"/>
    <w:rsid w:val="00B40708"/>
    <w:rsid w:val="00B40C16"/>
    <w:rsid w:val="00B40D30"/>
    <w:rsid w:val="00B42174"/>
    <w:rsid w:val="00B426E8"/>
    <w:rsid w:val="00B428B9"/>
    <w:rsid w:val="00B42B91"/>
    <w:rsid w:val="00B43FEC"/>
    <w:rsid w:val="00B478AC"/>
    <w:rsid w:val="00B527B1"/>
    <w:rsid w:val="00B55D9A"/>
    <w:rsid w:val="00B56185"/>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97B81"/>
    <w:rsid w:val="00BA0D2D"/>
    <w:rsid w:val="00BA15CA"/>
    <w:rsid w:val="00BA47FD"/>
    <w:rsid w:val="00BA5EFD"/>
    <w:rsid w:val="00BB2B4D"/>
    <w:rsid w:val="00BB4346"/>
    <w:rsid w:val="00BB43B8"/>
    <w:rsid w:val="00BB53AC"/>
    <w:rsid w:val="00BB5C16"/>
    <w:rsid w:val="00BB5F78"/>
    <w:rsid w:val="00BB7338"/>
    <w:rsid w:val="00BC2D24"/>
    <w:rsid w:val="00BC2E7F"/>
    <w:rsid w:val="00BC35F6"/>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1469"/>
    <w:rsid w:val="00C1494B"/>
    <w:rsid w:val="00C14DE6"/>
    <w:rsid w:val="00C15AC6"/>
    <w:rsid w:val="00C16052"/>
    <w:rsid w:val="00C1643C"/>
    <w:rsid w:val="00C209B5"/>
    <w:rsid w:val="00C24BC2"/>
    <w:rsid w:val="00C25618"/>
    <w:rsid w:val="00C26EE8"/>
    <w:rsid w:val="00C313B8"/>
    <w:rsid w:val="00C31D69"/>
    <w:rsid w:val="00C401B8"/>
    <w:rsid w:val="00C42EBF"/>
    <w:rsid w:val="00C42F12"/>
    <w:rsid w:val="00C451D8"/>
    <w:rsid w:val="00C475DA"/>
    <w:rsid w:val="00C56792"/>
    <w:rsid w:val="00C6278C"/>
    <w:rsid w:val="00C63AA2"/>
    <w:rsid w:val="00C65422"/>
    <w:rsid w:val="00C6599B"/>
    <w:rsid w:val="00C6630F"/>
    <w:rsid w:val="00C7110A"/>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06B"/>
    <w:rsid w:val="00CB54AD"/>
    <w:rsid w:val="00CB5BF2"/>
    <w:rsid w:val="00CC15A4"/>
    <w:rsid w:val="00CC28A9"/>
    <w:rsid w:val="00CC35B8"/>
    <w:rsid w:val="00CC6580"/>
    <w:rsid w:val="00CC6FE0"/>
    <w:rsid w:val="00CD175A"/>
    <w:rsid w:val="00CD554E"/>
    <w:rsid w:val="00CE0386"/>
    <w:rsid w:val="00CE4FC8"/>
    <w:rsid w:val="00CF0031"/>
    <w:rsid w:val="00CF0C99"/>
    <w:rsid w:val="00CF46D3"/>
    <w:rsid w:val="00CF56C7"/>
    <w:rsid w:val="00CF61F2"/>
    <w:rsid w:val="00D0209B"/>
    <w:rsid w:val="00D060E6"/>
    <w:rsid w:val="00D076FD"/>
    <w:rsid w:val="00D1118A"/>
    <w:rsid w:val="00D1140A"/>
    <w:rsid w:val="00D12CB8"/>
    <w:rsid w:val="00D14339"/>
    <w:rsid w:val="00D16CE2"/>
    <w:rsid w:val="00D21245"/>
    <w:rsid w:val="00D21C9F"/>
    <w:rsid w:val="00D22BEB"/>
    <w:rsid w:val="00D26BF2"/>
    <w:rsid w:val="00D33AF7"/>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2B5D"/>
    <w:rsid w:val="00D7306B"/>
    <w:rsid w:val="00D73201"/>
    <w:rsid w:val="00D73647"/>
    <w:rsid w:val="00D7743C"/>
    <w:rsid w:val="00D8307F"/>
    <w:rsid w:val="00D8465F"/>
    <w:rsid w:val="00D85B5D"/>
    <w:rsid w:val="00D90F93"/>
    <w:rsid w:val="00D91F54"/>
    <w:rsid w:val="00D93835"/>
    <w:rsid w:val="00D93AE3"/>
    <w:rsid w:val="00D9442D"/>
    <w:rsid w:val="00D94F8B"/>
    <w:rsid w:val="00D95235"/>
    <w:rsid w:val="00D9763F"/>
    <w:rsid w:val="00DA1FC3"/>
    <w:rsid w:val="00DA66C3"/>
    <w:rsid w:val="00DB0BFD"/>
    <w:rsid w:val="00DB5E7F"/>
    <w:rsid w:val="00DB6C3D"/>
    <w:rsid w:val="00DC176A"/>
    <w:rsid w:val="00DC687B"/>
    <w:rsid w:val="00DD0C2C"/>
    <w:rsid w:val="00DD0F6E"/>
    <w:rsid w:val="00DD14A6"/>
    <w:rsid w:val="00DD1C07"/>
    <w:rsid w:val="00DD3907"/>
    <w:rsid w:val="00DD4BF9"/>
    <w:rsid w:val="00DE0E3E"/>
    <w:rsid w:val="00DE2633"/>
    <w:rsid w:val="00DF1AE6"/>
    <w:rsid w:val="00E038CE"/>
    <w:rsid w:val="00E03F11"/>
    <w:rsid w:val="00E0463C"/>
    <w:rsid w:val="00E06BA5"/>
    <w:rsid w:val="00E077C9"/>
    <w:rsid w:val="00E11C02"/>
    <w:rsid w:val="00E135E3"/>
    <w:rsid w:val="00E16FF6"/>
    <w:rsid w:val="00E17FEE"/>
    <w:rsid w:val="00E21128"/>
    <w:rsid w:val="00E21AB4"/>
    <w:rsid w:val="00E224FC"/>
    <w:rsid w:val="00E31F57"/>
    <w:rsid w:val="00E32C2E"/>
    <w:rsid w:val="00E336C5"/>
    <w:rsid w:val="00E34241"/>
    <w:rsid w:val="00E34794"/>
    <w:rsid w:val="00E41279"/>
    <w:rsid w:val="00E502C4"/>
    <w:rsid w:val="00E5455B"/>
    <w:rsid w:val="00E556C7"/>
    <w:rsid w:val="00E55ABC"/>
    <w:rsid w:val="00E56168"/>
    <w:rsid w:val="00E57B74"/>
    <w:rsid w:val="00E57FEF"/>
    <w:rsid w:val="00E60DF1"/>
    <w:rsid w:val="00E642B3"/>
    <w:rsid w:val="00E70C18"/>
    <w:rsid w:val="00E7204D"/>
    <w:rsid w:val="00E86057"/>
    <w:rsid w:val="00E8629F"/>
    <w:rsid w:val="00E90B54"/>
    <w:rsid w:val="00E918C9"/>
    <w:rsid w:val="00E95016"/>
    <w:rsid w:val="00E96BC6"/>
    <w:rsid w:val="00E97AA9"/>
    <w:rsid w:val="00EA09B1"/>
    <w:rsid w:val="00EA0B7F"/>
    <w:rsid w:val="00EA3C24"/>
    <w:rsid w:val="00EA3D76"/>
    <w:rsid w:val="00EA739C"/>
    <w:rsid w:val="00EB0292"/>
    <w:rsid w:val="00EB61A0"/>
    <w:rsid w:val="00EC0715"/>
    <w:rsid w:val="00EC416C"/>
    <w:rsid w:val="00EC6A1C"/>
    <w:rsid w:val="00EC7BFD"/>
    <w:rsid w:val="00ED5F47"/>
    <w:rsid w:val="00ED6DB4"/>
    <w:rsid w:val="00ED7922"/>
    <w:rsid w:val="00EE01EA"/>
    <w:rsid w:val="00EE066A"/>
    <w:rsid w:val="00EE2605"/>
    <w:rsid w:val="00EE29F1"/>
    <w:rsid w:val="00EE3A95"/>
    <w:rsid w:val="00EE5692"/>
    <w:rsid w:val="00EE6221"/>
    <w:rsid w:val="00EE7690"/>
    <w:rsid w:val="00EF011F"/>
    <w:rsid w:val="00EF1033"/>
    <w:rsid w:val="00EF2CA3"/>
    <w:rsid w:val="00EF325F"/>
    <w:rsid w:val="00EF32A7"/>
    <w:rsid w:val="00EF5D8B"/>
    <w:rsid w:val="00EF6BCD"/>
    <w:rsid w:val="00F01416"/>
    <w:rsid w:val="00F030CA"/>
    <w:rsid w:val="00F0557F"/>
    <w:rsid w:val="00F05DFF"/>
    <w:rsid w:val="00F072D8"/>
    <w:rsid w:val="00F10B79"/>
    <w:rsid w:val="00F128F9"/>
    <w:rsid w:val="00F12D23"/>
    <w:rsid w:val="00F15074"/>
    <w:rsid w:val="00F15855"/>
    <w:rsid w:val="00F1709D"/>
    <w:rsid w:val="00F1745D"/>
    <w:rsid w:val="00F202F8"/>
    <w:rsid w:val="00F23155"/>
    <w:rsid w:val="00F250B1"/>
    <w:rsid w:val="00F26554"/>
    <w:rsid w:val="00F30653"/>
    <w:rsid w:val="00F3413D"/>
    <w:rsid w:val="00F37710"/>
    <w:rsid w:val="00F421FD"/>
    <w:rsid w:val="00F42412"/>
    <w:rsid w:val="00F46E30"/>
    <w:rsid w:val="00F54063"/>
    <w:rsid w:val="00F6154D"/>
    <w:rsid w:val="00F6267E"/>
    <w:rsid w:val="00F63B69"/>
    <w:rsid w:val="00F7184A"/>
    <w:rsid w:val="00F73617"/>
    <w:rsid w:val="00F74B0A"/>
    <w:rsid w:val="00F77EB0"/>
    <w:rsid w:val="00F81AC1"/>
    <w:rsid w:val="00F83415"/>
    <w:rsid w:val="00F86974"/>
    <w:rsid w:val="00F90935"/>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BAD"/>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9BDE13FC-B5E4-40FE-A70C-C7E03F6AB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Pages>
  <Words>1333</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175</cp:revision>
  <dcterms:created xsi:type="dcterms:W3CDTF">2020-05-26T02:02:00Z</dcterms:created>
  <dcterms:modified xsi:type="dcterms:W3CDTF">2022-09-30T18:32:00Z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